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8E" w:rsidRDefault="0086648E" w:rsidP="0086648E">
      <w:pPr>
        <w:jc w:val="both"/>
        <w:rPr>
          <w:rFonts w:ascii="Arial" w:hAnsi="Arial" w:cs="Arial"/>
          <w:sz w:val="24"/>
          <w:szCs w:val="24"/>
        </w:rPr>
      </w:pPr>
    </w:p>
    <w:p w:rsidR="0086648E" w:rsidRPr="009A6D25" w:rsidRDefault="0086648E" w:rsidP="0086648E">
      <w:pPr>
        <w:jc w:val="center"/>
        <w:rPr>
          <w:rFonts w:ascii="Arial" w:hAnsi="Arial" w:cs="Arial"/>
          <w:b/>
          <w:sz w:val="28"/>
          <w:szCs w:val="24"/>
        </w:rPr>
      </w:pPr>
      <w:r w:rsidRPr="009A6D25">
        <w:rPr>
          <w:rFonts w:ascii="Arial" w:hAnsi="Arial" w:cs="Arial"/>
          <w:b/>
          <w:sz w:val="28"/>
          <w:szCs w:val="24"/>
        </w:rPr>
        <w:t>Dictamen de la Tabla de Aplicabilidad de las Obligaciones de Transparencia de</w:t>
      </w:r>
      <w:r w:rsidR="00986681" w:rsidRPr="009A6D25">
        <w:rPr>
          <w:rFonts w:ascii="Arial" w:hAnsi="Arial" w:cs="Arial"/>
          <w:b/>
          <w:sz w:val="28"/>
          <w:szCs w:val="24"/>
        </w:rPr>
        <w:t xml:space="preserve"> la</w:t>
      </w:r>
    </w:p>
    <w:p w:rsidR="0086648E" w:rsidRPr="009A6D25" w:rsidRDefault="0086648E" w:rsidP="0086648E">
      <w:pPr>
        <w:jc w:val="center"/>
        <w:rPr>
          <w:rFonts w:ascii="Arial" w:hAnsi="Arial" w:cs="Arial"/>
          <w:b/>
          <w:sz w:val="28"/>
          <w:szCs w:val="24"/>
        </w:rPr>
      </w:pPr>
      <w:r w:rsidRPr="009A6D25">
        <w:rPr>
          <w:rFonts w:ascii="Arial" w:hAnsi="Arial" w:cs="Arial"/>
          <w:b/>
          <w:sz w:val="28"/>
          <w:szCs w:val="24"/>
        </w:rPr>
        <w:t xml:space="preserve"> A</w:t>
      </w:r>
      <w:r w:rsidR="00F90DD1" w:rsidRPr="009A6D25">
        <w:rPr>
          <w:rFonts w:ascii="Arial" w:hAnsi="Arial" w:cs="Arial"/>
          <w:b/>
          <w:sz w:val="28"/>
          <w:szCs w:val="24"/>
        </w:rPr>
        <w:t>samblea Constituyente de la Ciudad de México</w:t>
      </w:r>
      <w:r w:rsidR="00D77935" w:rsidRPr="009A6D25">
        <w:rPr>
          <w:rFonts w:ascii="Arial" w:hAnsi="Arial" w:cs="Arial"/>
          <w:b/>
          <w:sz w:val="28"/>
          <w:szCs w:val="24"/>
        </w:rPr>
        <w:t xml:space="preserve"> </w:t>
      </w:r>
    </w:p>
    <w:p w:rsidR="0086648E" w:rsidRDefault="0086648E" w:rsidP="0086648E">
      <w:pPr>
        <w:jc w:val="both"/>
        <w:rPr>
          <w:rFonts w:ascii="Arial" w:hAnsi="Arial" w:cs="Arial"/>
          <w:sz w:val="24"/>
          <w:szCs w:val="24"/>
        </w:rPr>
      </w:pPr>
    </w:p>
    <w:p w:rsidR="0086648E" w:rsidRPr="009D311D" w:rsidRDefault="0086648E" w:rsidP="0086648E">
      <w:pPr>
        <w:jc w:val="both"/>
        <w:rPr>
          <w:rFonts w:ascii="Arial" w:hAnsi="Arial" w:cs="Arial"/>
          <w:b/>
          <w:sz w:val="24"/>
          <w:szCs w:val="24"/>
        </w:rPr>
      </w:pPr>
      <w:r w:rsidRPr="009D311D">
        <w:rPr>
          <w:rFonts w:ascii="Arial" w:hAnsi="Arial" w:cs="Arial"/>
          <w:b/>
          <w:sz w:val="24"/>
          <w:szCs w:val="24"/>
        </w:rPr>
        <w:t>Considerando:</w:t>
      </w:r>
    </w:p>
    <w:p w:rsidR="0086648E" w:rsidRDefault="0086648E" w:rsidP="0086648E">
      <w:pPr>
        <w:spacing w:line="276" w:lineRule="auto"/>
        <w:jc w:val="both"/>
        <w:rPr>
          <w:rFonts w:ascii="Arial" w:hAnsi="Arial" w:cs="Arial"/>
          <w:sz w:val="24"/>
          <w:szCs w:val="24"/>
        </w:rPr>
      </w:pPr>
    </w:p>
    <w:p w:rsidR="0086648E" w:rsidRDefault="0086648E" w:rsidP="0086648E">
      <w:pPr>
        <w:spacing w:line="276" w:lineRule="auto"/>
        <w:jc w:val="both"/>
        <w:rPr>
          <w:rFonts w:ascii="Arial" w:hAnsi="Arial" w:cs="Arial"/>
          <w:sz w:val="24"/>
          <w:szCs w:val="24"/>
        </w:rPr>
      </w:pPr>
      <w:r w:rsidRPr="003D653A">
        <w:rPr>
          <w:rFonts w:ascii="Arial" w:hAnsi="Arial" w:cs="Arial"/>
          <w:sz w:val="24"/>
          <w:szCs w:val="24"/>
        </w:rPr>
        <w:t>Con fundamento en lo señalado en el último párrafo del artículo 121 de la Ley de Transparencia, Acceso a la Información Pública y Rendición de Cuentas de la Ciudad de México, en el cual se establece:</w:t>
      </w:r>
    </w:p>
    <w:p w:rsidR="00E34BFE" w:rsidRPr="003D653A" w:rsidRDefault="00E34BFE" w:rsidP="0086648E">
      <w:pPr>
        <w:spacing w:line="276" w:lineRule="auto"/>
        <w:jc w:val="both"/>
        <w:rPr>
          <w:rFonts w:ascii="Arial" w:hAnsi="Arial" w:cs="Arial"/>
          <w:sz w:val="24"/>
          <w:szCs w:val="24"/>
        </w:rPr>
      </w:pPr>
    </w:p>
    <w:p w:rsidR="0086648E" w:rsidRPr="00A337B8" w:rsidRDefault="0086648E" w:rsidP="0086648E">
      <w:pPr>
        <w:spacing w:line="276" w:lineRule="auto"/>
        <w:ind w:left="567" w:right="813"/>
        <w:jc w:val="both"/>
        <w:rPr>
          <w:rFonts w:ascii="Arial" w:hAnsi="Arial" w:cs="Arial"/>
          <w:i/>
          <w:sz w:val="24"/>
          <w:szCs w:val="24"/>
        </w:rPr>
      </w:pPr>
      <w:r w:rsidRPr="00A337B8">
        <w:rPr>
          <w:rFonts w:ascii="Arial" w:hAnsi="Arial" w:cs="Arial"/>
          <w:i/>
          <w:sz w:val="24"/>
          <w:szCs w:val="24"/>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86648E" w:rsidRDefault="0086648E" w:rsidP="0086648E">
      <w:pPr>
        <w:jc w:val="both"/>
        <w:rPr>
          <w:rFonts w:ascii="Arial" w:hAnsi="Arial" w:cs="Arial"/>
          <w:sz w:val="24"/>
          <w:szCs w:val="24"/>
        </w:rPr>
      </w:pPr>
    </w:p>
    <w:p w:rsidR="0086648E" w:rsidRDefault="008E6565" w:rsidP="0086648E">
      <w:pPr>
        <w:spacing w:line="276" w:lineRule="auto"/>
        <w:jc w:val="both"/>
        <w:rPr>
          <w:rFonts w:ascii="Arial" w:hAnsi="Arial" w:cs="Arial"/>
        </w:rPr>
      </w:pPr>
      <w:r w:rsidRPr="00022D7E">
        <w:rPr>
          <w:rFonts w:ascii="Arial" w:hAnsi="Arial" w:cs="Arial"/>
          <w:sz w:val="24"/>
          <w:szCs w:val="24"/>
        </w:rPr>
        <w:t>El Pleno del Instituto, mediante e</w:t>
      </w:r>
      <w:r w:rsidRPr="008A35EB">
        <w:rPr>
          <w:rFonts w:ascii="Arial" w:hAnsi="Arial" w:cs="Arial"/>
          <w:sz w:val="24"/>
          <w:szCs w:val="24"/>
        </w:rPr>
        <w:t xml:space="preserve">l Acuerdo </w:t>
      </w:r>
      <w:r w:rsidR="008A35EB" w:rsidRPr="008A35EB">
        <w:rPr>
          <w:rFonts w:ascii="Arial" w:hAnsi="Arial" w:cs="Arial"/>
          <w:sz w:val="24"/>
          <w:szCs w:val="24"/>
        </w:rPr>
        <w:t>No. 1753/SO/23-11/2016</w:t>
      </w:r>
      <w:r w:rsidRPr="008A35EB">
        <w:rPr>
          <w:rFonts w:ascii="Arial" w:hAnsi="Arial" w:cs="Arial"/>
          <w:sz w:val="24"/>
          <w:szCs w:val="24"/>
        </w:rPr>
        <w:t xml:space="preserve"> del</w:t>
      </w:r>
      <w:r w:rsidRPr="00022D7E">
        <w:rPr>
          <w:rFonts w:ascii="Arial" w:hAnsi="Arial" w:cs="Arial"/>
          <w:sz w:val="24"/>
          <w:szCs w:val="24"/>
        </w:rPr>
        <w:t xml:space="preserve"> pasado 23 de noviembre del ejercicio en curso, </w:t>
      </w:r>
      <w:r w:rsidR="008554B7" w:rsidRPr="00022D7E">
        <w:rPr>
          <w:rFonts w:ascii="Arial" w:hAnsi="Arial" w:cs="Arial"/>
          <w:sz w:val="24"/>
          <w:szCs w:val="24"/>
        </w:rPr>
        <w:t>aprobó la incorporación de la Asamblea Constituyente de la Ciudad de México, al padrón de sujetos obligados que deben atender las obligaciones de transparencia, establecidas en el Título Quinto</w:t>
      </w:r>
      <w:r w:rsidR="00B834E4" w:rsidRPr="00022D7E">
        <w:rPr>
          <w:rFonts w:ascii="Arial" w:hAnsi="Arial" w:cs="Arial"/>
          <w:sz w:val="24"/>
          <w:szCs w:val="24"/>
        </w:rPr>
        <w:t xml:space="preserve"> de la Ley de Transparencia, Acceso a la Información Pública y Rendición de Cuentas de la Ciudad de México.</w:t>
      </w:r>
    </w:p>
    <w:p w:rsidR="0086648E" w:rsidRDefault="0086648E" w:rsidP="0086648E">
      <w:pPr>
        <w:jc w:val="both"/>
        <w:rPr>
          <w:rFonts w:ascii="Arial" w:hAnsi="Arial" w:cs="Arial"/>
          <w:sz w:val="24"/>
          <w:szCs w:val="24"/>
        </w:rPr>
      </w:pPr>
    </w:p>
    <w:p w:rsidR="0086648E" w:rsidRPr="007A5A15" w:rsidRDefault="00E52915" w:rsidP="00D77935">
      <w:pPr>
        <w:jc w:val="both"/>
        <w:rPr>
          <w:rFonts w:ascii="Arial" w:hAnsi="Arial" w:cs="Arial"/>
          <w:sz w:val="24"/>
          <w:szCs w:val="24"/>
        </w:rPr>
      </w:pPr>
      <w:r>
        <w:rPr>
          <w:rFonts w:ascii="Arial" w:hAnsi="Arial" w:cs="Arial"/>
          <w:sz w:val="24"/>
          <w:szCs w:val="24"/>
        </w:rPr>
        <w:t xml:space="preserve">Con base en lo anterior, la Dirección de Evaluación y Estudios (DEyE) de este Instituto, </w:t>
      </w:r>
      <w:r w:rsidR="0086648E">
        <w:rPr>
          <w:rFonts w:ascii="Arial" w:hAnsi="Arial" w:cs="Arial"/>
          <w:sz w:val="24"/>
          <w:szCs w:val="24"/>
        </w:rPr>
        <w:t xml:space="preserve">realizó </w:t>
      </w:r>
      <w:r w:rsidR="0086648E" w:rsidRPr="007A5A15">
        <w:rPr>
          <w:rFonts w:ascii="Arial" w:hAnsi="Arial" w:cs="Arial"/>
          <w:sz w:val="24"/>
          <w:szCs w:val="24"/>
        </w:rPr>
        <w:t>el análisis de l</w:t>
      </w:r>
      <w:r w:rsidR="0086648E">
        <w:rPr>
          <w:rFonts w:ascii="Arial" w:hAnsi="Arial" w:cs="Arial"/>
          <w:sz w:val="24"/>
          <w:szCs w:val="24"/>
        </w:rPr>
        <w:t xml:space="preserve">as </w:t>
      </w:r>
      <w:r w:rsidR="00F90DD1">
        <w:rPr>
          <w:rFonts w:ascii="Arial" w:hAnsi="Arial" w:cs="Arial"/>
          <w:sz w:val="24"/>
          <w:szCs w:val="24"/>
        </w:rPr>
        <w:t xml:space="preserve">obligaciones de transparencia que deberá publicar la </w:t>
      </w:r>
      <w:r w:rsidR="00F90DD1" w:rsidRPr="00F90DD1">
        <w:rPr>
          <w:rFonts w:ascii="Arial" w:hAnsi="Arial" w:cs="Arial"/>
          <w:sz w:val="24"/>
          <w:szCs w:val="24"/>
        </w:rPr>
        <w:t>Asamblea Constituyente de la Ciudad de México</w:t>
      </w:r>
      <w:r w:rsidR="00F90DD1">
        <w:rPr>
          <w:rFonts w:ascii="Arial" w:hAnsi="Arial" w:cs="Arial"/>
          <w:sz w:val="24"/>
          <w:szCs w:val="24"/>
        </w:rPr>
        <w:t xml:space="preserve">, </w:t>
      </w:r>
      <w:r w:rsidR="0086648E">
        <w:rPr>
          <w:rFonts w:ascii="Arial" w:hAnsi="Arial" w:cs="Arial"/>
          <w:sz w:val="24"/>
          <w:szCs w:val="24"/>
        </w:rPr>
        <w:t xml:space="preserve">en el que se </w:t>
      </w:r>
      <w:r w:rsidR="0086648E" w:rsidRPr="007A5A15">
        <w:rPr>
          <w:rFonts w:ascii="Arial" w:hAnsi="Arial" w:cs="Arial"/>
          <w:sz w:val="24"/>
          <w:szCs w:val="24"/>
        </w:rPr>
        <w:t>identific</w:t>
      </w:r>
      <w:r w:rsidR="0086648E">
        <w:rPr>
          <w:rFonts w:ascii="Arial" w:hAnsi="Arial" w:cs="Arial"/>
          <w:sz w:val="24"/>
          <w:szCs w:val="24"/>
        </w:rPr>
        <w:t>aron</w:t>
      </w:r>
      <w:r w:rsidR="0086648E" w:rsidRPr="007A5A15">
        <w:rPr>
          <w:rFonts w:ascii="Arial" w:hAnsi="Arial" w:cs="Arial"/>
          <w:sz w:val="24"/>
          <w:szCs w:val="24"/>
        </w:rPr>
        <w:t xml:space="preserve"> los artículos y fracciones que le son aplicables, </w:t>
      </w:r>
      <w:r w:rsidR="009C2937">
        <w:rPr>
          <w:rFonts w:ascii="Arial" w:hAnsi="Arial" w:cs="Arial"/>
          <w:sz w:val="24"/>
          <w:szCs w:val="24"/>
        </w:rPr>
        <w:t xml:space="preserve">derivadas de sus </w:t>
      </w:r>
      <w:r w:rsidR="0086648E">
        <w:rPr>
          <w:rFonts w:ascii="Arial" w:hAnsi="Arial" w:cs="Arial"/>
          <w:sz w:val="24"/>
          <w:szCs w:val="24"/>
        </w:rPr>
        <w:t>facultades, competencias y funciones</w:t>
      </w:r>
      <w:r w:rsidR="009C2937">
        <w:rPr>
          <w:rFonts w:ascii="Arial" w:hAnsi="Arial" w:cs="Arial"/>
          <w:sz w:val="24"/>
          <w:szCs w:val="24"/>
        </w:rPr>
        <w:t>.</w:t>
      </w:r>
      <w:r w:rsidR="0086648E" w:rsidRPr="007A5A15">
        <w:rPr>
          <w:rFonts w:ascii="Arial" w:hAnsi="Arial" w:cs="Arial"/>
          <w:sz w:val="24"/>
          <w:szCs w:val="24"/>
        </w:rPr>
        <w:t xml:space="preserve"> </w:t>
      </w:r>
    </w:p>
    <w:p w:rsidR="0086648E" w:rsidRPr="007A5A15" w:rsidRDefault="0086648E" w:rsidP="0086648E">
      <w:pPr>
        <w:spacing w:line="276" w:lineRule="auto"/>
        <w:jc w:val="both"/>
        <w:rPr>
          <w:rFonts w:ascii="Arial" w:hAnsi="Arial" w:cs="Arial"/>
          <w:sz w:val="24"/>
          <w:szCs w:val="24"/>
        </w:rPr>
      </w:pPr>
    </w:p>
    <w:p w:rsidR="0086648E" w:rsidRPr="007A5A15" w:rsidRDefault="0086648E" w:rsidP="0086648E">
      <w:pPr>
        <w:jc w:val="both"/>
        <w:rPr>
          <w:rFonts w:ascii="Arial" w:hAnsi="Arial" w:cs="Arial"/>
          <w:sz w:val="24"/>
          <w:szCs w:val="24"/>
        </w:rPr>
      </w:pPr>
      <w:r>
        <w:rPr>
          <w:rFonts w:ascii="Arial" w:hAnsi="Arial" w:cs="Arial"/>
          <w:sz w:val="24"/>
          <w:szCs w:val="24"/>
        </w:rPr>
        <w:t xml:space="preserve">Para </w:t>
      </w:r>
      <w:r w:rsidRPr="007A5A15">
        <w:rPr>
          <w:rFonts w:ascii="Arial" w:hAnsi="Arial" w:cs="Arial"/>
          <w:sz w:val="24"/>
          <w:szCs w:val="24"/>
        </w:rPr>
        <w:t>determinar la aplicabilidad</w:t>
      </w:r>
      <w:r>
        <w:rPr>
          <w:rFonts w:ascii="Arial" w:hAnsi="Arial" w:cs="Arial"/>
          <w:sz w:val="24"/>
          <w:szCs w:val="24"/>
        </w:rPr>
        <w:t>,</w:t>
      </w:r>
      <w:r w:rsidRPr="007A5A15">
        <w:rPr>
          <w:rFonts w:ascii="Arial" w:hAnsi="Arial" w:cs="Arial"/>
          <w:sz w:val="24"/>
          <w:szCs w:val="24"/>
        </w:rPr>
        <w:t xml:space="preserve"> </w:t>
      </w:r>
      <w:r w:rsidRPr="00B5580A">
        <w:rPr>
          <w:rFonts w:ascii="Arial" w:hAnsi="Arial" w:cs="Arial"/>
          <w:sz w:val="24"/>
          <w:szCs w:val="24"/>
        </w:rPr>
        <w:t xml:space="preserve">se </w:t>
      </w:r>
      <w:r w:rsidR="00DC6803">
        <w:rPr>
          <w:rFonts w:ascii="Arial" w:hAnsi="Arial" w:cs="Arial"/>
          <w:sz w:val="24"/>
          <w:szCs w:val="24"/>
        </w:rPr>
        <w:t>consideraron</w:t>
      </w:r>
      <w:r w:rsidRPr="00B5580A">
        <w:rPr>
          <w:rFonts w:ascii="Arial" w:hAnsi="Arial" w:cs="Arial"/>
          <w:sz w:val="24"/>
          <w:szCs w:val="24"/>
        </w:rPr>
        <w:t xml:space="preserve"> </w:t>
      </w:r>
      <w:r w:rsidRPr="007A5A15">
        <w:rPr>
          <w:rFonts w:ascii="Arial" w:hAnsi="Arial" w:cs="Arial"/>
          <w:sz w:val="24"/>
          <w:szCs w:val="24"/>
        </w:rPr>
        <w:t xml:space="preserve">los siguientes </w:t>
      </w:r>
      <w:r>
        <w:rPr>
          <w:rFonts w:ascii="Arial" w:hAnsi="Arial" w:cs="Arial"/>
          <w:sz w:val="24"/>
          <w:szCs w:val="24"/>
        </w:rPr>
        <w:t>ordenamientos jurídicos:</w:t>
      </w:r>
    </w:p>
    <w:p w:rsidR="0086648E" w:rsidRDefault="0086648E" w:rsidP="0086648E">
      <w:pPr>
        <w:spacing w:line="360" w:lineRule="auto"/>
        <w:ind w:firstLine="426"/>
        <w:jc w:val="both"/>
        <w:rPr>
          <w:rFonts w:ascii="Arial" w:hAnsi="Arial" w:cs="Arial"/>
          <w:sz w:val="24"/>
          <w:szCs w:val="24"/>
        </w:rPr>
      </w:pPr>
    </w:p>
    <w:p w:rsidR="0086648E" w:rsidRPr="00580622" w:rsidRDefault="0086648E" w:rsidP="00D8112F">
      <w:pPr>
        <w:spacing w:line="360" w:lineRule="auto"/>
        <w:rPr>
          <w:rFonts w:ascii="Arial" w:hAnsi="Arial" w:cs="Arial"/>
          <w:sz w:val="24"/>
          <w:szCs w:val="24"/>
        </w:rPr>
      </w:pPr>
      <w:r w:rsidRPr="00580622">
        <w:rPr>
          <w:rFonts w:ascii="Arial" w:hAnsi="Arial" w:cs="Arial"/>
          <w:sz w:val="24"/>
          <w:szCs w:val="24"/>
        </w:rPr>
        <w:t>1.- Ley General de Transparencia y Acceso a la Información Pública (LG)</w:t>
      </w:r>
    </w:p>
    <w:p w:rsidR="0086648E" w:rsidRPr="00580622" w:rsidRDefault="0086648E" w:rsidP="00D8112F">
      <w:pPr>
        <w:spacing w:line="360" w:lineRule="auto"/>
        <w:rPr>
          <w:rFonts w:ascii="Arial" w:hAnsi="Arial" w:cs="Arial"/>
          <w:sz w:val="24"/>
          <w:szCs w:val="24"/>
        </w:rPr>
      </w:pPr>
      <w:r w:rsidRPr="00580622">
        <w:rPr>
          <w:rFonts w:ascii="Arial" w:hAnsi="Arial" w:cs="Arial"/>
          <w:sz w:val="24"/>
          <w:szCs w:val="24"/>
        </w:rPr>
        <w:t>2.- Lineamientos Técnicos Generales</w:t>
      </w:r>
    </w:p>
    <w:p w:rsidR="0086648E" w:rsidRPr="00580622" w:rsidRDefault="0086648E" w:rsidP="00D8112F">
      <w:pPr>
        <w:spacing w:line="360" w:lineRule="auto"/>
        <w:rPr>
          <w:rFonts w:ascii="Arial" w:hAnsi="Arial" w:cs="Arial"/>
          <w:sz w:val="24"/>
          <w:szCs w:val="24"/>
        </w:rPr>
      </w:pPr>
      <w:r w:rsidRPr="00580622">
        <w:rPr>
          <w:rFonts w:ascii="Arial" w:hAnsi="Arial" w:cs="Arial"/>
          <w:sz w:val="24"/>
          <w:szCs w:val="24"/>
        </w:rPr>
        <w:lastRenderedPageBreak/>
        <w:t>3.- Ley de Transparencia, Acceso a la Información Pública y Rendición de Cuentas de la Ciudad de México (LTAIPRC)</w:t>
      </w:r>
    </w:p>
    <w:p w:rsidR="0086648E" w:rsidRPr="00580622" w:rsidRDefault="0086648E" w:rsidP="00D8112F">
      <w:pPr>
        <w:spacing w:line="360" w:lineRule="auto"/>
        <w:rPr>
          <w:rFonts w:ascii="Arial" w:hAnsi="Arial" w:cs="Arial"/>
          <w:sz w:val="24"/>
          <w:szCs w:val="24"/>
        </w:rPr>
      </w:pPr>
      <w:r w:rsidRPr="00580622">
        <w:rPr>
          <w:rFonts w:ascii="Arial" w:hAnsi="Arial" w:cs="Arial"/>
          <w:sz w:val="24"/>
          <w:szCs w:val="24"/>
        </w:rPr>
        <w:t xml:space="preserve">4.- </w:t>
      </w:r>
      <w:r w:rsidR="009C2937">
        <w:rPr>
          <w:rFonts w:ascii="Arial" w:hAnsi="Arial" w:cs="Arial"/>
          <w:sz w:val="24"/>
          <w:szCs w:val="24"/>
        </w:rPr>
        <w:t>Reglamento para el Gobierno Interior de la Asamblea Constituyente d</w:t>
      </w:r>
      <w:r w:rsidR="00B834E4">
        <w:rPr>
          <w:rFonts w:ascii="Arial" w:hAnsi="Arial" w:cs="Arial"/>
          <w:sz w:val="24"/>
          <w:szCs w:val="24"/>
        </w:rPr>
        <w:t>e</w:t>
      </w:r>
      <w:r w:rsidR="009C2937">
        <w:rPr>
          <w:rFonts w:ascii="Arial" w:hAnsi="Arial" w:cs="Arial"/>
          <w:sz w:val="24"/>
          <w:szCs w:val="24"/>
        </w:rPr>
        <w:t xml:space="preserve"> la Ciudad de México</w:t>
      </w:r>
      <w:r w:rsidRPr="00580622">
        <w:rPr>
          <w:rFonts w:ascii="Arial" w:hAnsi="Arial" w:cs="Arial"/>
          <w:sz w:val="24"/>
          <w:szCs w:val="24"/>
        </w:rPr>
        <w:t xml:space="preserve"> (Funciones y Atribuciones)</w:t>
      </w:r>
    </w:p>
    <w:p w:rsidR="0086648E" w:rsidRDefault="0086648E" w:rsidP="0086648E">
      <w:pPr>
        <w:jc w:val="both"/>
        <w:rPr>
          <w:rFonts w:ascii="Arial" w:hAnsi="Arial" w:cs="Arial"/>
          <w:sz w:val="24"/>
          <w:szCs w:val="24"/>
        </w:rPr>
      </w:pPr>
    </w:p>
    <w:p w:rsidR="0086648E" w:rsidRDefault="0086648E" w:rsidP="0086648E">
      <w:pPr>
        <w:jc w:val="both"/>
        <w:rPr>
          <w:rFonts w:ascii="Arial" w:hAnsi="Arial" w:cs="Arial"/>
          <w:sz w:val="24"/>
          <w:szCs w:val="24"/>
        </w:rPr>
      </w:pPr>
      <w:r>
        <w:rPr>
          <w:rFonts w:ascii="Arial" w:hAnsi="Arial" w:cs="Arial"/>
          <w:sz w:val="24"/>
          <w:szCs w:val="24"/>
        </w:rPr>
        <w:t>Por lo anteriormente descrito, el Pleno del INFODF emite el siguiente</w:t>
      </w:r>
      <w:r w:rsidR="00B21A8E">
        <w:rPr>
          <w:rFonts w:ascii="Arial" w:hAnsi="Arial" w:cs="Arial"/>
          <w:sz w:val="24"/>
          <w:szCs w:val="24"/>
        </w:rPr>
        <w:t>:</w:t>
      </w:r>
    </w:p>
    <w:p w:rsidR="0086648E" w:rsidRDefault="0086648E" w:rsidP="0086648E">
      <w:pPr>
        <w:jc w:val="both"/>
        <w:rPr>
          <w:rFonts w:ascii="Arial" w:hAnsi="Arial" w:cs="Arial"/>
          <w:sz w:val="24"/>
          <w:szCs w:val="24"/>
        </w:rPr>
      </w:pPr>
    </w:p>
    <w:p w:rsidR="0086648E" w:rsidRPr="00E23027" w:rsidRDefault="0086648E" w:rsidP="0086648E">
      <w:pPr>
        <w:jc w:val="center"/>
        <w:rPr>
          <w:rFonts w:ascii="Arial" w:hAnsi="Arial" w:cs="Arial"/>
          <w:b/>
          <w:sz w:val="24"/>
          <w:szCs w:val="24"/>
        </w:rPr>
      </w:pPr>
      <w:r w:rsidRPr="00E23027">
        <w:rPr>
          <w:rFonts w:ascii="Arial" w:hAnsi="Arial" w:cs="Arial"/>
          <w:b/>
          <w:sz w:val="24"/>
          <w:szCs w:val="24"/>
        </w:rPr>
        <w:t>DICTAMEN</w:t>
      </w:r>
    </w:p>
    <w:p w:rsidR="00736C42" w:rsidRDefault="00736C42" w:rsidP="0086648E">
      <w:pPr>
        <w:jc w:val="both"/>
        <w:rPr>
          <w:rFonts w:ascii="Arial" w:hAnsi="Arial" w:cs="Arial"/>
          <w:sz w:val="24"/>
          <w:szCs w:val="24"/>
        </w:rPr>
      </w:pPr>
    </w:p>
    <w:p w:rsidR="0086648E" w:rsidRDefault="0086648E" w:rsidP="0086648E">
      <w:pPr>
        <w:jc w:val="both"/>
        <w:rPr>
          <w:rFonts w:ascii="Arial" w:hAnsi="Arial" w:cs="Arial"/>
          <w:sz w:val="24"/>
          <w:szCs w:val="24"/>
        </w:rPr>
      </w:pPr>
      <w:r>
        <w:rPr>
          <w:rFonts w:ascii="Arial" w:hAnsi="Arial" w:cs="Arial"/>
          <w:sz w:val="24"/>
          <w:szCs w:val="24"/>
        </w:rPr>
        <w:t>Sobre la Tabla de aplicabilidad de las Obl</w:t>
      </w:r>
      <w:r w:rsidR="00D77935">
        <w:rPr>
          <w:rFonts w:ascii="Arial" w:hAnsi="Arial" w:cs="Arial"/>
          <w:sz w:val="24"/>
          <w:szCs w:val="24"/>
        </w:rPr>
        <w:t xml:space="preserve">igaciones de Transparencia de la </w:t>
      </w:r>
      <w:r w:rsidR="00736C42">
        <w:rPr>
          <w:rFonts w:ascii="Arial" w:hAnsi="Arial" w:cs="Arial"/>
          <w:sz w:val="24"/>
          <w:szCs w:val="24"/>
        </w:rPr>
        <w:t>Asamblea Constituyente d</w:t>
      </w:r>
      <w:r w:rsidR="00B834E4">
        <w:rPr>
          <w:rFonts w:ascii="Arial" w:hAnsi="Arial" w:cs="Arial"/>
          <w:sz w:val="24"/>
          <w:szCs w:val="24"/>
        </w:rPr>
        <w:t>e</w:t>
      </w:r>
      <w:r w:rsidR="00736C42">
        <w:rPr>
          <w:rFonts w:ascii="Arial" w:hAnsi="Arial" w:cs="Arial"/>
          <w:sz w:val="24"/>
          <w:szCs w:val="24"/>
        </w:rPr>
        <w:t xml:space="preserve"> la Ciudad de México</w:t>
      </w:r>
      <w:r>
        <w:rPr>
          <w:rFonts w:ascii="Arial" w:hAnsi="Arial" w:cs="Arial"/>
          <w:sz w:val="24"/>
          <w:szCs w:val="24"/>
        </w:rPr>
        <w:t>, contenidas en la Ley de Transparencia, Acceso a la Información Pública y Rendición de Cuentas de la Ciudad de México.</w:t>
      </w:r>
    </w:p>
    <w:p w:rsidR="00B22B20" w:rsidRDefault="00B22B20" w:rsidP="0086648E">
      <w:pPr>
        <w:jc w:val="both"/>
        <w:rPr>
          <w:rFonts w:ascii="Arial" w:hAnsi="Arial" w:cs="Arial"/>
          <w:b/>
          <w:sz w:val="24"/>
          <w:szCs w:val="24"/>
        </w:rPr>
      </w:pPr>
    </w:p>
    <w:tbl>
      <w:tblPr>
        <w:tblW w:w="12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181"/>
        <w:gridCol w:w="4678"/>
        <w:gridCol w:w="3969"/>
      </w:tblGrid>
      <w:tr w:rsidR="005B4174" w:rsidRPr="00AF4D31" w:rsidTr="00B62D06">
        <w:trPr>
          <w:trHeight w:val="538"/>
          <w:tblHeader/>
        </w:trPr>
        <w:tc>
          <w:tcPr>
            <w:tcW w:w="4181" w:type="dxa"/>
            <w:shd w:val="clear" w:color="auto" w:fill="008080"/>
            <w:noWrap/>
            <w:vAlign w:val="center"/>
          </w:tcPr>
          <w:p w:rsidR="005B4174" w:rsidRPr="00AF4D31" w:rsidRDefault="005B4174" w:rsidP="002E3E9B">
            <w:pPr>
              <w:spacing w:after="101"/>
              <w:jc w:val="center"/>
              <w:rPr>
                <w:rFonts w:ascii="Arial" w:hAnsi="Arial" w:cs="Arial"/>
                <w:b/>
                <w:color w:val="FFFFFF" w:themeColor="background1"/>
                <w:sz w:val="24"/>
                <w:szCs w:val="24"/>
              </w:rPr>
            </w:pPr>
            <w:r w:rsidRPr="00AF4D31">
              <w:rPr>
                <w:rFonts w:ascii="Arial" w:hAnsi="Arial" w:cs="Arial"/>
                <w:b/>
                <w:color w:val="FFFFFF" w:themeColor="background1"/>
                <w:sz w:val="24"/>
                <w:szCs w:val="24"/>
              </w:rPr>
              <w:t>Artículo</w:t>
            </w:r>
          </w:p>
        </w:tc>
        <w:tc>
          <w:tcPr>
            <w:tcW w:w="4678" w:type="dxa"/>
            <w:shd w:val="clear" w:color="auto" w:fill="008080"/>
            <w:vAlign w:val="center"/>
          </w:tcPr>
          <w:p w:rsidR="005B4174" w:rsidRPr="00AF4D31" w:rsidRDefault="00176876" w:rsidP="002E3E9B">
            <w:pPr>
              <w:spacing w:after="101"/>
              <w:jc w:val="center"/>
              <w:rPr>
                <w:rFonts w:ascii="Arial" w:hAnsi="Arial" w:cs="Arial"/>
                <w:b/>
                <w:color w:val="FFFFFF" w:themeColor="background1"/>
                <w:sz w:val="24"/>
                <w:szCs w:val="24"/>
              </w:rPr>
            </w:pPr>
            <w:r w:rsidRPr="00AF4D31">
              <w:rPr>
                <w:rFonts w:ascii="Arial" w:hAnsi="Arial" w:cs="Arial"/>
                <w:b/>
                <w:color w:val="FFFFFF" w:themeColor="background1"/>
                <w:sz w:val="24"/>
                <w:szCs w:val="24"/>
              </w:rPr>
              <w:t>Fracción/Descripción</w:t>
            </w:r>
          </w:p>
        </w:tc>
        <w:tc>
          <w:tcPr>
            <w:tcW w:w="3969" w:type="dxa"/>
            <w:shd w:val="clear" w:color="auto" w:fill="008080"/>
            <w:vAlign w:val="center"/>
          </w:tcPr>
          <w:p w:rsidR="005B4174" w:rsidRPr="00AF4D31" w:rsidRDefault="00176876" w:rsidP="002E3E9B">
            <w:pPr>
              <w:spacing w:after="101"/>
              <w:jc w:val="center"/>
              <w:rPr>
                <w:rFonts w:ascii="Arial" w:hAnsi="Arial" w:cs="Arial"/>
                <w:b/>
                <w:color w:val="FFFFFF" w:themeColor="background1"/>
                <w:sz w:val="24"/>
                <w:szCs w:val="24"/>
              </w:rPr>
            </w:pPr>
            <w:r w:rsidRPr="00AF4D31">
              <w:rPr>
                <w:rFonts w:ascii="Arial" w:hAnsi="Arial" w:cs="Arial"/>
                <w:b/>
                <w:color w:val="FFFFFF" w:themeColor="background1"/>
                <w:sz w:val="24"/>
                <w:szCs w:val="24"/>
              </w:rPr>
              <w:t>Aplicabilidad</w:t>
            </w:r>
          </w:p>
        </w:tc>
      </w:tr>
      <w:tr w:rsidR="00A97E99" w:rsidRPr="005B4174" w:rsidTr="005B4174">
        <w:trPr>
          <w:trHeight w:val="20"/>
        </w:trPr>
        <w:tc>
          <w:tcPr>
            <w:tcW w:w="4181" w:type="dxa"/>
            <w:vMerge w:val="restart"/>
            <w:shd w:val="clear" w:color="auto" w:fill="FFFFFF" w:themeFill="background1"/>
            <w:vAlign w:val="center"/>
          </w:tcPr>
          <w:p w:rsidR="00A97E99" w:rsidRPr="005B4174" w:rsidRDefault="00A97E99" w:rsidP="00176876">
            <w:pPr>
              <w:jc w:val="both"/>
              <w:rPr>
                <w:rFonts w:ascii="Arial" w:hAnsi="Arial" w:cs="Arial"/>
                <w:sz w:val="24"/>
                <w:szCs w:val="24"/>
              </w:rPr>
            </w:pPr>
            <w:r w:rsidRPr="005B4174">
              <w:rPr>
                <w:rFonts w:ascii="Arial" w:hAnsi="Arial" w:cs="Arial"/>
                <w:b/>
                <w:sz w:val="24"/>
                <w:szCs w:val="24"/>
              </w:rPr>
              <w:t xml:space="preserve">Artículo 121. </w:t>
            </w:r>
            <w:r w:rsidRPr="005B4174">
              <w:rPr>
                <w:rFonts w:ascii="Arial" w:hAnsi="Arial" w:cs="Arial"/>
                <w:sz w:val="24"/>
                <w:szCs w:val="24"/>
              </w:rPr>
              <w:t>Los sujetos obligados, deberán mantener impresa para consulta directa de los particulares, difundir y</w:t>
            </w:r>
            <w:r>
              <w:rPr>
                <w:rFonts w:ascii="Arial" w:hAnsi="Arial" w:cs="Arial"/>
                <w:sz w:val="24"/>
                <w:szCs w:val="24"/>
              </w:rPr>
              <w:t xml:space="preserve"> </w:t>
            </w:r>
            <w:r w:rsidRPr="005B4174">
              <w:rPr>
                <w:rFonts w:ascii="Arial" w:hAnsi="Arial" w:cs="Arial"/>
                <w:sz w:val="24"/>
                <w:szCs w:val="24"/>
              </w:rPr>
              <w:t>mantener actualizada a través de los respectivos medios electrónicos, de sus sitios de internet y de la Plataforma Nacional de</w:t>
            </w:r>
          </w:p>
          <w:p w:rsidR="00A97E99" w:rsidRPr="005B4174" w:rsidRDefault="00A97E99" w:rsidP="00B834E4">
            <w:pPr>
              <w:jc w:val="both"/>
              <w:rPr>
                <w:rFonts w:ascii="Arial" w:hAnsi="Arial" w:cs="Arial"/>
                <w:sz w:val="24"/>
                <w:szCs w:val="24"/>
              </w:rPr>
            </w:pPr>
            <w:r w:rsidRPr="005B4174">
              <w:rPr>
                <w:rFonts w:ascii="Arial" w:hAnsi="Arial" w:cs="Arial"/>
                <w:sz w:val="24"/>
                <w:szCs w:val="24"/>
              </w:rPr>
              <w:t>Transparencia, la información, por lo menos, de los temas, documentos y políticas siguientes según les corresponda:</w:t>
            </w: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5B4174">
              <w:rPr>
                <w:rFonts w:ascii="Arial" w:hAnsi="Arial" w:cs="Arial"/>
                <w:b/>
                <w:sz w:val="24"/>
                <w:szCs w:val="24"/>
              </w:rPr>
              <w:t xml:space="preserve">Fracción I. </w:t>
            </w:r>
            <w:r w:rsidRPr="005B4174">
              <w:rPr>
                <w:rFonts w:ascii="Arial" w:hAnsi="Arial" w:cs="Arial"/>
                <w:sz w:val="24"/>
                <w:szCs w:val="24"/>
              </w:rPr>
              <w:t>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w:t>
            </w:r>
          </w:p>
        </w:tc>
        <w:tc>
          <w:tcPr>
            <w:tcW w:w="3969" w:type="dxa"/>
            <w:shd w:val="clear" w:color="auto" w:fill="FFFFFF" w:themeFill="background1"/>
            <w:vAlign w:val="center"/>
          </w:tcPr>
          <w:p w:rsidR="00A97E99"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r w:rsidR="00A97E99" w:rsidRPr="005B4174" w:rsidTr="005B4174">
        <w:trPr>
          <w:trHeight w:val="20"/>
        </w:trPr>
        <w:tc>
          <w:tcPr>
            <w:tcW w:w="4181" w:type="dxa"/>
            <w:vMerge/>
            <w:shd w:val="clear" w:color="auto" w:fill="FFFFFF" w:themeFill="background1"/>
            <w:vAlign w:val="center"/>
          </w:tcPr>
          <w:p w:rsidR="00A97E99" w:rsidRPr="005B4174" w:rsidRDefault="00A97E99" w:rsidP="002E3E9B">
            <w:pPr>
              <w:spacing w:after="101"/>
              <w:jc w:val="center"/>
              <w:rPr>
                <w:rFonts w:ascii="Arial" w:hAnsi="Arial" w:cs="Arial"/>
                <w:b/>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5B4174">
              <w:rPr>
                <w:rFonts w:ascii="Arial" w:hAnsi="Arial" w:cs="Arial"/>
                <w:b/>
                <w:sz w:val="24"/>
                <w:szCs w:val="24"/>
              </w:rPr>
              <w:t xml:space="preserve">Fracción II. </w:t>
            </w:r>
            <w:r w:rsidRPr="005B4174">
              <w:rPr>
                <w:rFonts w:ascii="Arial" w:hAnsi="Arial" w:cs="Arial"/>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F317F4">
        <w:trPr>
          <w:trHeight w:val="20"/>
        </w:trPr>
        <w:tc>
          <w:tcPr>
            <w:tcW w:w="4181" w:type="dxa"/>
            <w:vMerge/>
            <w:shd w:val="clear" w:color="auto" w:fill="FFFFFF" w:themeFill="background1"/>
            <w:vAlign w:val="center"/>
          </w:tcPr>
          <w:p w:rsidR="00A97E99" w:rsidRPr="005B4174" w:rsidRDefault="00A97E99" w:rsidP="00B834E4">
            <w:pP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5B4174">
              <w:rPr>
                <w:rFonts w:ascii="Arial" w:hAnsi="Arial" w:cs="Arial"/>
                <w:b/>
                <w:sz w:val="24"/>
                <w:szCs w:val="24"/>
              </w:rPr>
              <w:t xml:space="preserve">Fracción VIII. </w:t>
            </w:r>
            <w:r w:rsidRPr="005B4174">
              <w:rPr>
                <w:rFonts w:ascii="Arial" w:hAnsi="Arial" w:cs="Arial"/>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F317F4">
        <w:trPr>
          <w:trHeight w:val="20"/>
        </w:trPr>
        <w:tc>
          <w:tcPr>
            <w:tcW w:w="4181" w:type="dxa"/>
            <w:vMerge/>
            <w:shd w:val="clear" w:color="auto" w:fill="FFFFFF" w:themeFill="background1"/>
            <w:vAlign w:val="center"/>
          </w:tcPr>
          <w:p w:rsidR="00A97E99" w:rsidRPr="001A0201"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Default="00A97E99" w:rsidP="002E3E9B">
            <w:pPr>
              <w:spacing w:after="101"/>
              <w:jc w:val="both"/>
              <w:rPr>
                <w:rFonts w:ascii="Arial" w:hAnsi="Arial" w:cs="Arial"/>
                <w:sz w:val="24"/>
                <w:szCs w:val="24"/>
              </w:rPr>
            </w:pPr>
            <w:r w:rsidRPr="0071571F">
              <w:rPr>
                <w:rFonts w:ascii="Arial" w:hAnsi="Arial" w:cs="Arial"/>
                <w:b/>
                <w:sz w:val="24"/>
                <w:szCs w:val="24"/>
              </w:rPr>
              <w:t>Fracción XII</w:t>
            </w:r>
            <w:r w:rsidRPr="001A0201">
              <w:rPr>
                <w:rFonts w:ascii="Arial" w:hAnsi="Arial" w:cs="Arial"/>
                <w:sz w:val="24"/>
                <w:szCs w:val="24"/>
              </w:rPr>
              <w:t>. Las contrataciones de servicios profesionales por honorarios, señalando los nombres de los prestadores de servicios, los servicios contratados, el monto de los honorarios y el periodo de contratación;</w:t>
            </w:r>
          </w:p>
          <w:p w:rsidR="00D355B0" w:rsidRPr="001A0201" w:rsidRDefault="00D355B0" w:rsidP="002E3E9B">
            <w:pPr>
              <w:spacing w:after="101"/>
              <w:jc w:val="both"/>
              <w:rPr>
                <w:rFonts w:ascii="Arial" w:hAnsi="Arial" w:cs="Arial"/>
                <w:sz w:val="24"/>
                <w:szCs w:val="24"/>
              </w:rPr>
            </w:pP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1A0201" w:rsidRDefault="00A97E99" w:rsidP="001A0201">
            <w:pPr>
              <w:rPr>
                <w:rFonts w:ascii="Arial" w:hAnsi="Arial" w:cs="Arial"/>
                <w:sz w:val="24"/>
                <w:szCs w:val="24"/>
              </w:rPr>
            </w:pPr>
          </w:p>
        </w:tc>
        <w:tc>
          <w:tcPr>
            <w:tcW w:w="4678" w:type="dxa"/>
            <w:shd w:val="clear" w:color="auto" w:fill="FFFFFF" w:themeFill="background1"/>
            <w:vAlign w:val="center"/>
          </w:tcPr>
          <w:p w:rsidR="00A97E99" w:rsidRPr="001A0201" w:rsidRDefault="00A97E99" w:rsidP="002E3E9B">
            <w:pPr>
              <w:spacing w:after="101"/>
              <w:jc w:val="both"/>
              <w:rPr>
                <w:rFonts w:ascii="Arial" w:hAnsi="Arial" w:cs="Arial"/>
                <w:sz w:val="24"/>
                <w:szCs w:val="24"/>
              </w:rPr>
            </w:pPr>
            <w:r w:rsidRPr="0071571F">
              <w:rPr>
                <w:rFonts w:ascii="Arial" w:hAnsi="Arial" w:cs="Arial"/>
                <w:b/>
                <w:sz w:val="24"/>
                <w:szCs w:val="24"/>
              </w:rPr>
              <w:t>Fracción XIII.</w:t>
            </w:r>
            <w:r w:rsidRPr="001A0201">
              <w:rPr>
                <w:rFonts w:ascii="Arial" w:hAnsi="Arial" w:cs="Arial"/>
                <w:sz w:val="24"/>
                <w:szCs w:val="24"/>
              </w:rPr>
              <w:t xml:space="preserve"> </w:t>
            </w:r>
            <w:r w:rsidRPr="00C175CD">
              <w:rPr>
                <w:rFonts w:ascii="Arial" w:hAnsi="Arial" w:cs="Arial"/>
                <w:sz w:val="24"/>
                <w:szCs w:val="24"/>
                <w:u w:val="single"/>
              </w:rPr>
              <w:t>La Versión Pública en los sistemas habilitados para ello</w:t>
            </w:r>
            <w:r w:rsidRPr="001A0201">
              <w:rPr>
                <w:rFonts w:ascii="Arial" w:hAnsi="Arial" w:cs="Arial"/>
                <w:sz w:val="24"/>
                <w:szCs w:val="24"/>
              </w:rPr>
              <w:t xml:space="preserve">, </w:t>
            </w:r>
            <w:r w:rsidRPr="00C175CD">
              <w:rPr>
                <w:rFonts w:ascii="Arial" w:hAnsi="Arial" w:cs="Arial"/>
                <w:sz w:val="24"/>
                <w:szCs w:val="24"/>
                <w:u w:val="single"/>
              </w:rPr>
              <w:t>de las</w:t>
            </w:r>
            <w:r w:rsidRPr="001A0201">
              <w:rPr>
                <w:rFonts w:ascii="Arial" w:hAnsi="Arial" w:cs="Arial"/>
                <w:sz w:val="24"/>
                <w:szCs w:val="24"/>
              </w:rPr>
              <w:t xml:space="preserve"> </w:t>
            </w:r>
            <w:r w:rsidRPr="00063C74">
              <w:rPr>
                <w:rFonts w:ascii="Arial" w:hAnsi="Arial" w:cs="Arial"/>
                <w:sz w:val="24"/>
                <w:szCs w:val="24"/>
                <w:u w:val="single"/>
              </w:rPr>
              <w:t>Declaraciones</w:t>
            </w:r>
            <w:r w:rsidRPr="001A0201">
              <w:rPr>
                <w:rFonts w:ascii="Arial" w:hAnsi="Arial" w:cs="Arial"/>
                <w:sz w:val="24"/>
                <w:szCs w:val="24"/>
              </w:rPr>
              <w:t xml:space="preserve"> Patrimoniales, </w:t>
            </w:r>
            <w:r w:rsidRPr="00063C74">
              <w:rPr>
                <w:rFonts w:ascii="Arial" w:hAnsi="Arial" w:cs="Arial"/>
                <w:sz w:val="24"/>
                <w:szCs w:val="24"/>
                <w:u w:val="single"/>
              </w:rPr>
              <w:t>de Intereses</w:t>
            </w:r>
            <w:r w:rsidRPr="001A0201">
              <w:rPr>
                <w:rFonts w:ascii="Arial" w:hAnsi="Arial" w:cs="Arial"/>
                <w:sz w:val="24"/>
                <w:szCs w:val="24"/>
              </w:rPr>
              <w:t xml:space="preserve"> y Fiscal </w:t>
            </w:r>
            <w:r w:rsidRPr="00C175CD">
              <w:rPr>
                <w:rFonts w:ascii="Arial" w:hAnsi="Arial" w:cs="Arial"/>
                <w:sz w:val="24"/>
                <w:szCs w:val="24"/>
                <w:u w:val="single"/>
              </w:rPr>
              <w:t>de las personas servidoras públicas y colaboradores de los sujetos obligados, que deban presentarlas de acuerdo a la normatividad aplicable</w:t>
            </w:r>
            <w:r w:rsidR="00C175CD">
              <w:rPr>
                <w:rFonts w:ascii="Arial" w:hAnsi="Arial" w:cs="Arial"/>
                <w:sz w:val="24"/>
                <w:szCs w:val="24"/>
                <w:u w:val="single"/>
              </w:rPr>
              <w:t>.</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A473BD">
              <w:rPr>
                <w:rFonts w:ascii="Arial" w:hAnsi="Arial" w:cs="Arial"/>
                <w:b/>
                <w:sz w:val="24"/>
                <w:szCs w:val="24"/>
              </w:rPr>
              <w:t xml:space="preserve">Fracción XIV. </w:t>
            </w:r>
            <w:r w:rsidRPr="00A473BD">
              <w:rPr>
                <w:rFonts w:ascii="Arial" w:hAnsi="Arial" w:cs="Arial"/>
                <w:sz w:val="24"/>
                <w:szCs w:val="24"/>
              </w:rPr>
              <w:t>El domicilio de la Unidad de Transparencia, además de la dirección electrónica donde podrán recibirse las solicitudes para obtener la información;</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A473BD">
              <w:rPr>
                <w:rFonts w:ascii="Arial" w:hAnsi="Arial" w:cs="Arial"/>
                <w:b/>
                <w:sz w:val="24"/>
                <w:szCs w:val="24"/>
              </w:rPr>
              <w:t xml:space="preserve">Fracción XXXII. </w:t>
            </w:r>
            <w:r w:rsidRPr="00A473BD">
              <w:rPr>
                <w:rFonts w:ascii="Arial" w:hAnsi="Arial" w:cs="Arial"/>
                <w:sz w:val="24"/>
                <w:szCs w:val="24"/>
              </w:rPr>
              <w:t>Las estadísticas que generen en cumplimiento de sus facultades, competencias o funciones con la mayor desagregación posible;</w:t>
            </w:r>
          </w:p>
        </w:tc>
        <w:tc>
          <w:tcPr>
            <w:tcW w:w="3969" w:type="dxa"/>
            <w:shd w:val="clear" w:color="auto" w:fill="FFFFFF" w:themeFill="background1"/>
            <w:vAlign w:val="center"/>
          </w:tcPr>
          <w:p w:rsidR="00A97E99" w:rsidRPr="005B4174" w:rsidRDefault="006827C0" w:rsidP="00E856EF">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A473BD" w:rsidRDefault="00A97E99" w:rsidP="00A97E99">
            <w:pPr>
              <w:spacing w:after="101"/>
              <w:jc w:val="both"/>
              <w:rPr>
                <w:rFonts w:ascii="Arial" w:hAnsi="Arial" w:cs="Arial"/>
                <w:b/>
                <w:sz w:val="24"/>
                <w:szCs w:val="24"/>
              </w:rPr>
            </w:pPr>
            <w:r>
              <w:rPr>
                <w:rFonts w:ascii="Arial" w:hAnsi="Arial" w:cs="Arial"/>
                <w:b/>
                <w:sz w:val="24"/>
                <w:szCs w:val="24"/>
              </w:rPr>
              <w:t xml:space="preserve">Fracción XXXV. </w:t>
            </w:r>
            <w:r w:rsidRPr="00A97E99">
              <w:rPr>
                <w:rFonts w:ascii="Arial" w:hAnsi="Arial" w:cs="Arial"/>
                <w:sz w:val="24"/>
                <w:szCs w:val="24"/>
              </w:rPr>
              <w:t xml:space="preserve">Los convenios de coordinación de concertación con los sectores social y privado; </w:t>
            </w:r>
            <w:r w:rsidRPr="00B51B9B">
              <w:rPr>
                <w:rFonts w:ascii="Arial" w:hAnsi="Arial" w:cs="Arial"/>
                <w:sz w:val="24"/>
                <w:szCs w:val="24"/>
                <w:u w:val="single"/>
              </w:rPr>
              <w:t>así como los convenios institucionales celebrados por el sujeto obligado, especificando el tipo de convenio, con quién se celebra, objetivo, fecha de celebración y vigencia</w:t>
            </w:r>
          </w:p>
        </w:tc>
        <w:tc>
          <w:tcPr>
            <w:tcW w:w="3969" w:type="dxa"/>
            <w:shd w:val="clear" w:color="auto" w:fill="FFFFFF" w:themeFill="background1"/>
            <w:vAlign w:val="center"/>
          </w:tcPr>
          <w:p w:rsidR="00A97E99"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A97E99" w:rsidRDefault="00A97E99" w:rsidP="00A97E99">
            <w:pPr>
              <w:spacing w:after="101"/>
              <w:jc w:val="both"/>
              <w:rPr>
                <w:rFonts w:ascii="Arial" w:hAnsi="Arial" w:cs="Arial"/>
                <w:sz w:val="24"/>
                <w:szCs w:val="24"/>
              </w:rPr>
            </w:pPr>
            <w:r>
              <w:rPr>
                <w:rFonts w:ascii="Arial" w:hAnsi="Arial" w:cs="Arial"/>
                <w:b/>
                <w:sz w:val="24"/>
                <w:szCs w:val="24"/>
              </w:rPr>
              <w:t xml:space="preserve">Fracción </w:t>
            </w:r>
            <w:r w:rsidRPr="00A97E99">
              <w:rPr>
                <w:rFonts w:ascii="Arial" w:hAnsi="Arial" w:cs="Arial"/>
                <w:b/>
                <w:sz w:val="24"/>
                <w:szCs w:val="24"/>
              </w:rPr>
              <w:t xml:space="preserve">XXXVIII. </w:t>
            </w:r>
            <w:r w:rsidRPr="00A97E99">
              <w:rPr>
                <w:rFonts w:ascii="Arial" w:hAnsi="Arial" w:cs="Arial"/>
                <w:sz w:val="24"/>
                <w:szCs w:val="24"/>
              </w:rPr>
              <w:t>La relación del número de recomendaciones emitidas por el Instituto al sujeto ob</w:t>
            </w:r>
            <w:r>
              <w:rPr>
                <w:rFonts w:ascii="Arial" w:hAnsi="Arial" w:cs="Arial"/>
                <w:sz w:val="24"/>
                <w:szCs w:val="24"/>
              </w:rPr>
              <w:t xml:space="preserve">ligado, y el seguimiento a cada </w:t>
            </w:r>
            <w:r w:rsidRPr="00A97E99">
              <w:rPr>
                <w:rFonts w:ascii="Arial" w:hAnsi="Arial" w:cs="Arial"/>
                <w:sz w:val="24"/>
                <w:szCs w:val="24"/>
              </w:rPr>
              <w:t>una de ellas</w:t>
            </w:r>
            <w:r>
              <w:rPr>
                <w:rFonts w:ascii="Arial" w:hAnsi="Arial" w:cs="Arial"/>
                <w:sz w:val="24"/>
                <w:szCs w:val="24"/>
              </w:rPr>
              <w:t>;</w:t>
            </w:r>
          </w:p>
        </w:tc>
        <w:tc>
          <w:tcPr>
            <w:tcW w:w="3969" w:type="dxa"/>
            <w:shd w:val="clear" w:color="auto" w:fill="FFFFFF" w:themeFill="background1"/>
            <w:vAlign w:val="center"/>
          </w:tcPr>
          <w:p w:rsidR="00A97E99"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5B4174">
              <w:rPr>
                <w:rFonts w:ascii="Arial" w:hAnsi="Arial" w:cs="Arial"/>
                <w:b/>
                <w:sz w:val="24"/>
                <w:szCs w:val="24"/>
              </w:rPr>
              <w:t xml:space="preserve">Fracción XL. </w:t>
            </w:r>
            <w:r w:rsidRPr="005B4174">
              <w:rPr>
                <w:rFonts w:ascii="Arial" w:hAnsi="Arial" w:cs="Arial"/>
                <w:sz w:val="24"/>
                <w:szCs w:val="24"/>
              </w:rPr>
              <w:t>Los mecanismos de participación ciudadana;</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650E7C">
              <w:rPr>
                <w:rFonts w:ascii="Arial" w:hAnsi="Arial" w:cs="Arial"/>
                <w:b/>
                <w:sz w:val="24"/>
                <w:szCs w:val="24"/>
              </w:rPr>
              <w:t xml:space="preserve">Fracción XLIII. </w:t>
            </w:r>
            <w:r w:rsidRPr="00650E7C">
              <w:rPr>
                <w:rFonts w:ascii="Arial" w:hAnsi="Arial" w:cs="Arial"/>
                <w:sz w:val="24"/>
                <w:szCs w:val="24"/>
              </w:rPr>
              <w:t>Las actas y resoluciones del Comité de Transparencia de los sujetos obligados;</w:t>
            </w:r>
          </w:p>
        </w:tc>
        <w:tc>
          <w:tcPr>
            <w:tcW w:w="3969" w:type="dxa"/>
            <w:shd w:val="clear" w:color="auto" w:fill="FFFFFF" w:themeFill="background1"/>
            <w:vAlign w:val="center"/>
          </w:tcPr>
          <w:p w:rsidR="00A97E99" w:rsidRPr="005B4174" w:rsidRDefault="006827C0" w:rsidP="00A349FF">
            <w:pPr>
              <w:spacing w:after="101"/>
              <w:jc w:val="center"/>
              <w:rPr>
                <w:rFonts w:ascii="Arial" w:hAnsi="Arial" w:cs="Arial"/>
                <w:sz w:val="24"/>
                <w:szCs w:val="24"/>
              </w:rPr>
            </w:pPr>
            <w:r>
              <w:rPr>
                <w:rFonts w:ascii="Arial" w:hAnsi="Arial" w:cs="Arial"/>
                <w:b/>
                <w:sz w:val="24"/>
                <w:szCs w:val="24"/>
              </w:rPr>
              <w:t>Sí Aplica</w:t>
            </w:r>
          </w:p>
        </w:tc>
      </w:tr>
      <w:tr w:rsidR="00392DD4" w:rsidRPr="005B4174" w:rsidTr="000B3528">
        <w:trPr>
          <w:trHeight w:val="750"/>
        </w:trPr>
        <w:tc>
          <w:tcPr>
            <w:tcW w:w="4181" w:type="dxa"/>
            <w:vMerge/>
            <w:shd w:val="clear" w:color="auto" w:fill="FFFFFF" w:themeFill="background1"/>
            <w:vAlign w:val="center"/>
          </w:tcPr>
          <w:p w:rsidR="00392DD4" w:rsidRPr="005B4174" w:rsidRDefault="00392DD4" w:rsidP="002E3E9B">
            <w:pPr>
              <w:jc w:val="center"/>
              <w:rPr>
                <w:rFonts w:ascii="Arial" w:hAnsi="Arial" w:cs="Arial"/>
                <w:sz w:val="24"/>
                <w:szCs w:val="24"/>
              </w:rPr>
            </w:pPr>
          </w:p>
        </w:tc>
        <w:tc>
          <w:tcPr>
            <w:tcW w:w="4678" w:type="dxa"/>
            <w:shd w:val="clear" w:color="auto" w:fill="FFFFFF" w:themeFill="background1"/>
            <w:vAlign w:val="center"/>
          </w:tcPr>
          <w:p w:rsidR="00392DD4" w:rsidRPr="00E856EF" w:rsidRDefault="00392DD4" w:rsidP="002E3E9B">
            <w:pPr>
              <w:spacing w:after="101"/>
              <w:jc w:val="both"/>
              <w:rPr>
                <w:rFonts w:ascii="Arial" w:hAnsi="Arial" w:cs="Arial"/>
                <w:b/>
                <w:sz w:val="24"/>
                <w:szCs w:val="24"/>
              </w:rPr>
            </w:pPr>
            <w:r w:rsidRPr="00392DD4">
              <w:rPr>
                <w:rFonts w:ascii="Arial" w:hAnsi="Arial" w:cs="Arial"/>
                <w:b/>
                <w:sz w:val="24"/>
                <w:szCs w:val="24"/>
              </w:rPr>
              <w:t>Fracción XLVII</w:t>
            </w:r>
            <w:r w:rsidRPr="00392DD4">
              <w:rPr>
                <w:rFonts w:ascii="Arial" w:hAnsi="Arial" w:cs="Arial"/>
                <w:sz w:val="24"/>
                <w:szCs w:val="24"/>
              </w:rPr>
              <w:t>.</w:t>
            </w:r>
            <w:r>
              <w:rPr>
                <w:rFonts w:ascii="Arial" w:hAnsi="Arial" w:cs="Arial"/>
                <w:sz w:val="24"/>
                <w:szCs w:val="24"/>
              </w:rPr>
              <w:t xml:space="preserve"> </w:t>
            </w:r>
            <w:r w:rsidRPr="00392DD4">
              <w:rPr>
                <w:rFonts w:ascii="Arial" w:hAnsi="Arial" w:cs="Arial"/>
                <w:sz w:val="24"/>
                <w:szCs w:val="24"/>
              </w:rPr>
              <w:t>Los ingresos recibidos por cualquier concepto señalando el nombre de los responsables de recibirlos, administrarlos y ejercerlos, así como su destino, indicando el destino de cada uno de ellos</w:t>
            </w:r>
            <w:r>
              <w:rPr>
                <w:rFonts w:ascii="Arial" w:hAnsi="Arial" w:cs="Arial"/>
                <w:sz w:val="24"/>
                <w:szCs w:val="24"/>
              </w:rPr>
              <w:t xml:space="preserve">. </w:t>
            </w:r>
          </w:p>
        </w:tc>
        <w:tc>
          <w:tcPr>
            <w:tcW w:w="3969" w:type="dxa"/>
            <w:shd w:val="clear" w:color="auto" w:fill="FFFFFF" w:themeFill="background1"/>
            <w:vAlign w:val="center"/>
          </w:tcPr>
          <w:p w:rsidR="00392DD4" w:rsidRDefault="0016607D" w:rsidP="002E3E9B">
            <w:pPr>
              <w:spacing w:after="101"/>
              <w:jc w:val="center"/>
              <w:rPr>
                <w:rFonts w:ascii="Arial" w:hAnsi="Arial" w:cs="Arial"/>
                <w:b/>
                <w:sz w:val="24"/>
                <w:szCs w:val="24"/>
              </w:rPr>
            </w:pPr>
            <w:r w:rsidRPr="0016607D">
              <w:rPr>
                <w:rFonts w:ascii="Arial" w:hAnsi="Arial" w:cs="Arial"/>
                <w:b/>
                <w:sz w:val="24"/>
                <w:szCs w:val="24"/>
              </w:rPr>
              <w:t>Sí Aplica</w:t>
            </w:r>
          </w:p>
        </w:tc>
      </w:tr>
      <w:tr w:rsidR="00A97E99" w:rsidRPr="005B4174" w:rsidTr="000B3528">
        <w:trPr>
          <w:trHeight w:val="75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sz w:val="24"/>
                <w:szCs w:val="24"/>
              </w:rPr>
            </w:pPr>
            <w:r w:rsidRPr="00E856EF">
              <w:rPr>
                <w:rFonts w:ascii="Arial" w:hAnsi="Arial" w:cs="Arial"/>
                <w:b/>
                <w:sz w:val="24"/>
                <w:szCs w:val="24"/>
              </w:rPr>
              <w:t xml:space="preserve">Fracción XLIX. </w:t>
            </w:r>
            <w:r w:rsidRPr="00E856EF">
              <w:rPr>
                <w:rFonts w:ascii="Arial" w:hAnsi="Arial" w:cs="Arial"/>
                <w:sz w:val="24"/>
                <w:szCs w:val="24"/>
              </w:rPr>
              <w:t xml:space="preserve">El catálogo de disposición y </w:t>
            </w:r>
            <w:r w:rsidRPr="00B51B9B">
              <w:rPr>
                <w:rFonts w:ascii="Arial" w:hAnsi="Arial" w:cs="Arial"/>
                <w:sz w:val="24"/>
                <w:szCs w:val="24"/>
                <w:u w:val="single"/>
              </w:rPr>
              <w:t>guía de archivo documental</w:t>
            </w:r>
            <w:r w:rsidRPr="00E856EF">
              <w:rPr>
                <w:rFonts w:ascii="Arial" w:hAnsi="Arial" w:cs="Arial"/>
                <w:sz w:val="24"/>
                <w:szCs w:val="24"/>
              </w:rPr>
              <w:t>;</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5B4174" w:rsidRDefault="00A97E99" w:rsidP="002E3E9B">
            <w:pPr>
              <w:spacing w:after="101"/>
              <w:jc w:val="both"/>
              <w:rPr>
                <w:rFonts w:ascii="Arial" w:hAnsi="Arial" w:cs="Arial"/>
                <w:b/>
                <w:sz w:val="24"/>
                <w:szCs w:val="24"/>
              </w:rPr>
            </w:pPr>
            <w:r w:rsidRPr="005B4174">
              <w:rPr>
                <w:rFonts w:ascii="Arial" w:hAnsi="Arial" w:cs="Arial"/>
                <w:b/>
                <w:sz w:val="24"/>
                <w:szCs w:val="24"/>
              </w:rPr>
              <w:t>Fracción L</w:t>
            </w:r>
            <w:r>
              <w:rPr>
                <w:rFonts w:ascii="Arial" w:hAnsi="Arial" w:cs="Arial"/>
                <w:b/>
                <w:sz w:val="24"/>
                <w:szCs w:val="24"/>
              </w:rPr>
              <w:t>.</w:t>
            </w:r>
            <w:r w:rsidRPr="005B4174">
              <w:rPr>
                <w:rFonts w:ascii="Arial" w:hAnsi="Arial" w:cs="Arial"/>
                <w:b/>
                <w:sz w:val="24"/>
                <w:szCs w:val="24"/>
              </w:rPr>
              <w:t xml:space="preserve"> </w:t>
            </w:r>
            <w:r w:rsidRPr="005B4174">
              <w:rPr>
                <w:rFonts w:ascii="Arial" w:hAnsi="Arial" w:cs="Arial"/>
                <w:sz w:val="24"/>
                <w:szCs w:val="24"/>
              </w:rPr>
              <w:t>La calendarización, las minutas y las actas de las reuniones públicas, ordinarias y 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tc>
        <w:tc>
          <w:tcPr>
            <w:tcW w:w="3969" w:type="dxa"/>
            <w:shd w:val="clear" w:color="auto" w:fill="FFFFFF" w:themeFill="background1"/>
            <w:vAlign w:val="center"/>
          </w:tcPr>
          <w:p w:rsidR="00A97E99"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A97E99" w:rsidRPr="005B4174" w:rsidTr="000B3528">
        <w:trPr>
          <w:trHeight w:val="20"/>
        </w:trPr>
        <w:tc>
          <w:tcPr>
            <w:tcW w:w="4181" w:type="dxa"/>
            <w:vMerge/>
            <w:shd w:val="clear" w:color="auto" w:fill="FFFFFF" w:themeFill="background1"/>
            <w:vAlign w:val="center"/>
          </w:tcPr>
          <w:p w:rsidR="00A97E99" w:rsidRPr="005B4174" w:rsidRDefault="00A97E99" w:rsidP="002E3E9B">
            <w:pPr>
              <w:jc w:val="center"/>
              <w:rPr>
                <w:rFonts w:ascii="Arial" w:hAnsi="Arial" w:cs="Arial"/>
                <w:sz w:val="24"/>
                <w:szCs w:val="24"/>
              </w:rPr>
            </w:pPr>
          </w:p>
        </w:tc>
        <w:tc>
          <w:tcPr>
            <w:tcW w:w="4678" w:type="dxa"/>
            <w:shd w:val="clear" w:color="auto" w:fill="FFFFFF" w:themeFill="background1"/>
            <w:vAlign w:val="center"/>
          </w:tcPr>
          <w:p w:rsidR="00A97E99" w:rsidRPr="00A97E99" w:rsidRDefault="00A97E99" w:rsidP="00A97E99">
            <w:pPr>
              <w:spacing w:after="101"/>
              <w:jc w:val="both"/>
              <w:rPr>
                <w:rFonts w:ascii="Arial" w:hAnsi="Arial" w:cs="Arial"/>
                <w:sz w:val="24"/>
                <w:szCs w:val="24"/>
              </w:rPr>
            </w:pPr>
            <w:r>
              <w:rPr>
                <w:rFonts w:ascii="Arial" w:hAnsi="Arial" w:cs="Arial"/>
                <w:b/>
                <w:sz w:val="24"/>
                <w:szCs w:val="24"/>
              </w:rPr>
              <w:t xml:space="preserve">Fracción LII. </w:t>
            </w:r>
            <w:r w:rsidRPr="00A97E99">
              <w:rPr>
                <w:rFonts w:ascii="Arial" w:hAnsi="Arial" w:cs="Arial"/>
                <w:sz w:val="24"/>
                <w:szCs w:val="24"/>
              </w:rPr>
              <w:t>Cualquier otra información que sea de utilidad o se considere relevante, para el conocimiento y eval</w:t>
            </w:r>
            <w:r>
              <w:rPr>
                <w:rFonts w:ascii="Arial" w:hAnsi="Arial" w:cs="Arial"/>
                <w:sz w:val="24"/>
                <w:szCs w:val="24"/>
              </w:rPr>
              <w:t xml:space="preserve">uación de </w:t>
            </w:r>
            <w:r w:rsidRPr="00A97E99">
              <w:rPr>
                <w:rFonts w:ascii="Arial" w:hAnsi="Arial" w:cs="Arial"/>
                <w:sz w:val="24"/>
                <w:szCs w:val="24"/>
              </w:rPr>
              <w:t xml:space="preserve">las funciones y políticas públicas responsabilidad del sujeto obligado además de la </w:t>
            </w:r>
            <w:r>
              <w:rPr>
                <w:rFonts w:ascii="Arial" w:hAnsi="Arial" w:cs="Arial"/>
                <w:sz w:val="24"/>
                <w:szCs w:val="24"/>
              </w:rPr>
              <w:t xml:space="preserve">que, con base en la información </w:t>
            </w:r>
            <w:r w:rsidRPr="00A97E99">
              <w:rPr>
                <w:rFonts w:ascii="Arial" w:hAnsi="Arial" w:cs="Arial"/>
                <w:sz w:val="24"/>
                <w:szCs w:val="24"/>
              </w:rPr>
              <w:t>estadística, responda a las preguntas hechas con más frecuencia por el público.;</w:t>
            </w:r>
          </w:p>
        </w:tc>
        <w:tc>
          <w:tcPr>
            <w:tcW w:w="3969" w:type="dxa"/>
            <w:shd w:val="clear" w:color="auto" w:fill="FFFFFF" w:themeFill="background1"/>
            <w:vAlign w:val="center"/>
          </w:tcPr>
          <w:p w:rsidR="00A97E99"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r w:rsidR="00E11A34" w:rsidRPr="005B4174" w:rsidTr="00CE1E4B">
        <w:trPr>
          <w:trHeight w:val="20"/>
        </w:trPr>
        <w:tc>
          <w:tcPr>
            <w:tcW w:w="4181" w:type="dxa"/>
            <w:vMerge w:val="restart"/>
            <w:tcBorders>
              <w:top w:val="single" w:sz="6" w:space="0" w:color="auto"/>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b/>
                <w:sz w:val="24"/>
                <w:szCs w:val="24"/>
              </w:rPr>
            </w:pPr>
            <w:r w:rsidRPr="005B4174">
              <w:rPr>
                <w:rFonts w:ascii="Arial" w:hAnsi="Arial" w:cs="Arial"/>
                <w:b/>
                <w:sz w:val="24"/>
                <w:szCs w:val="24"/>
              </w:rPr>
              <w:t>Artículo 125. Además de lo señalado en el artículo 121 de la LTAIPRC, la Asamblea Constituyente de la Ciudad de México, deberán poner a disposición del público y actualizar la siguiente información:</w:t>
            </w:r>
          </w:p>
          <w:p w:rsidR="00E11A34" w:rsidRPr="005B4174" w:rsidRDefault="00E11A34" w:rsidP="00125895">
            <w:pPr>
              <w:rPr>
                <w:rFonts w:ascii="Arial" w:hAnsi="Arial" w:cs="Arial"/>
                <w:b/>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sz w:val="24"/>
                <w:szCs w:val="24"/>
              </w:rPr>
            </w:pPr>
            <w:r w:rsidRPr="005B4174">
              <w:rPr>
                <w:rFonts w:ascii="Arial" w:hAnsi="Arial" w:cs="Arial"/>
                <w:b/>
                <w:sz w:val="24"/>
                <w:szCs w:val="24"/>
              </w:rPr>
              <w:t>Fracción I.</w:t>
            </w:r>
            <w:r w:rsidRPr="005B4174">
              <w:rPr>
                <w:rFonts w:ascii="Arial" w:hAnsi="Arial" w:cs="Arial"/>
                <w:sz w:val="24"/>
                <w:szCs w:val="24"/>
              </w:rPr>
              <w:t xml:space="preserve"> Ficha técnica por cada Diputado y Diputada, que contenga: nombres, fotografía y currículo , nombre del Diputado Suplente, las Comisiones o Comités a los que pertenece y las funciones que realice en los órganos legislativos, iniciativa y productos legislativos presentados, asistencia al Pleno, Comisiones y Comités, y asuntos recusados y excusados;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DB128D">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sz w:val="24"/>
                <w:szCs w:val="24"/>
              </w:rPr>
            </w:pPr>
            <w:r w:rsidRPr="005B4174">
              <w:rPr>
                <w:rFonts w:ascii="Arial" w:hAnsi="Arial" w:cs="Arial"/>
                <w:b/>
                <w:sz w:val="24"/>
                <w:szCs w:val="24"/>
              </w:rPr>
              <w:t>Fracción II.</w:t>
            </w:r>
            <w:r w:rsidRPr="005B4174">
              <w:rPr>
                <w:rFonts w:ascii="Arial" w:hAnsi="Arial" w:cs="Arial"/>
                <w:sz w:val="24"/>
                <w:szCs w:val="24"/>
              </w:rPr>
              <w:t xml:space="preserve"> Agenda legislativa;</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8A7A06">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sz w:val="24"/>
                <w:szCs w:val="24"/>
              </w:rPr>
            </w:pPr>
            <w:r w:rsidRPr="005B4174">
              <w:rPr>
                <w:rFonts w:ascii="Arial" w:hAnsi="Arial" w:cs="Arial"/>
                <w:b/>
                <w:sz w:val="24"/>
                <w:szCs w:val="24"/>
              </w:rPr>
              <w:t>Fracción III.</w:t>
            </w:r>
            <w:r w:rsidRPr="005B4174">
              <w:rPr>
                <w:rFonts w:ascii="Arial" w:hAnsi="Arial" w:cs="Arial"/>
                <w:sz w:val="24"/>
                <w:szCs w:val="24"/>
              </w:rPr>
              <w:t xml:space="preserve"> Agenda legislativa de los Grupos Parlamentarios;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8A7A06">
        <w:trPr>
          <w:trHeight w:val="473"/>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125895">
            <w:pP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176876">
            <w:pPr>
              <w:spacing w:after="101"/>
              <w:jc w:val="both"/>
              <w:rPr>
                <w:rFonts w:ascii="Arial" w:hAnsi="Arial" w:cs="Arial"/>
                <w:sz w:val="24"/>
                <w:szCs w:val="24"/>
              </w:rPr>
            </w:pPr>
            <w:r w:rsidRPr="005B4174">
              <w:rPr>
                <w:rFonts w:ascii="Arial" w:hAnsi="Arial" w:cs="Arial"/>
                <w:b/>
                <w:sz w:val="24"/>
                <w:szCs w:val="24"/>
              </w:rPr>
              <w:t>Fracción IV.</w:t>
            </w:r>
            <w:r w:rsidRPr="005B4174">
              <w:rPr>
                <w:rFonts w:ascii="Arial" w:hAnsi="Arial" w:cs="Arial"/>
                <w:sz w:val="24"/>
                <w:szCs w:val="24"/>
              </w:rPr>
              <w:t xml:space="preserve"> Gaceta Parlamentaria</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tcPr>
          <w:p w:rsidR="00E11A34" w:rsidRDefault="006827C0" w:rsidP="00176876">
            <w:pPr>
              <w:jc w:val="center"/>
            </w:pPr>
            <w:r>
              <w:rPr>
                <w:rFonts w:ascii="Arial" w:hAnsi="Arial" w:cs="Arial"/>
                <w:b/>
                <w:sz w:val="24"/>
                <w:szCs w:val="24"/>
              </w:rPr>
              <w:t>Sí Aplica</w:t>
            </w:r>
          </w:p>
        </w:tc>
      </w:tr>
      <w:tr w:rsidR="00E11A34" w:rsidRPr="005B4174" w:rsidTr="00125895">
        <w:trPr>
          <w:trHeight w:val="551"/>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176876">
            <w:pPr>
              <w:spacing w:after="101"/>
              <w:jc w:val="both"/>
              <w:rPr>
                <w:rFonts w:ascii="Arial" w:hAnsi="Arial" w:cs="Arial"/>
                <w:sz w:val="24"/>
                <w:szCs w:val="24"/>
              </w:rPr>
            </w:pPr>
            <w:r w:rsidRPr="005B4174">
              <w:rPr>
                <w:rFonts w:ascii="Arial" w:hAnsi="Arial" w:cs="Arial"/>
                <w:b/>
                <w:sz w:val="24"/>
                <w:szCs w:val="24"/>
              </w:rPr>
              <w:t>Fracción V.</w:t>
            </w:r>
            <w:r w:rsidRPr="005B4174">
              <w:rPr>
                <w:rFonts w:ascii="Arial" w:hAnsi="Arial" w:cs="Arial"/>
                <w:sz w:val="24"/>
                <w:szCs w:val="24"/>
              </w:rPr>
              <w:t xml:space="preserve"> Orden del día</w:t>
            </w:r>
            <w:r w:rsidR="001733BD" w:rsidRPr="001733BD">
              <w:rPr>
                <w:rFonts w:ascii="Arial" w:hAnsi="Arial" w:cs="Arial"/>
                <w:sz w:val="24"/>
                <w:szCs w:val="24"/>
              </w:rPr>
              <w:t xml:space="preserve"> de las sesiones del Pleno, de las Comisiones y Comités</w:t>
            </w:r>
            <w:r w:rsidR="001733BD">
              <w:rPr>
                <w:rFonts w:ascii="Arial" w:hAnsi="Arial" w:cs="Arial"/>
                <w:sz w:val="24"/>
                <w:szCs w:val="24"/>
              </w:rPr>
              <w:t xml:space="preserve"> </w:t>
            </w:r>
            <w:r w:rsidRPr="005B4174">
              <w:rPr>
                <w:rFonts w:ascii="Arial" w:hAnsi="Arial" w:cs="Arial"/>
                <w:sz w:val="24"/>
                <w:szCs w:val="24"/>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tcPr>
          <w:p w:rsidR="00E11A34" w:rsidRDefault="006827C0" w:rsidP="00176876">
            <w:pPr>
              <w:jc w:val="center"/>
            </w:pPr>
            <w:r>
              <w:rPr>
                <w:rFonts w:ascii="Arial" w:hAnsi="Arial" w:cs="Arial"/>
                <w:b/>
                <w:sz w:val="24"/>
                <w:szCs w:val="24"/>
              </w:rPr>
              <w:t>Sí Aplica</w:t>
            </w:r>
          </w:p>
        </w:tc>
      </w:tr>
      <w:tr w:rsidR="00E11A34" w:rsidRPr="005B4174" w:rsidTr="00125895">
        <w:trPr>
          <w:trHeight w:val="402"/>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176876">
            <w:pPr>
              <w:spacing w:after="101"/>
              <w:jc w:val="both"/>
              <w:rPr>
                <w:rFonts w:ascii="Arial" w:hAnsi="Arial" w:cs="Arial"/>
                <w:b/>
                <w:sz w:val="24"/>
                <w:szCs w:val="24"/>
              </w:rPr>
            </w:pPr>
            <w:r w:rsidRPr="005B4174">
              <w:rPr>
                <w:rFonts w:ascii="Arial" w:hAnsi="Arial" w:cs="Arial"/>
                <w:b/>
                <w:sz w:val="24"/>
                <w:szCs w:val="24"/>
              </w:rPr>
              <w:t>Fracción VI.</w:t>
            </w:r>
            <w:r w:rsidRPr="005B4174">
              <w:rPr>
                <w:rFonts w:ascii="Arial" w:hAnsi="Arial" w:cs="Arial"/>
                <w:sz w:val="24"/>
                <w:szCs w:val="24"/>
              </w:rPr>
              <w:t xml:space="preserve"> El Diario de los Debates;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tcPr>
          <w:p w:rsidR="00E11A34" w:rsidRDefault="006827C0" w:rsidP="00176876">
            <w:pPr>
              <w:jc w:val="center"/>
            </w:pPr>
            <w:r>
              <w:rPr>
                <w:rFonts w:ascii="Arial" w:hAnsi="Arial" w:cs="Arial"/>
                <w:b/>
                <w:sz w:val="24"/>
                <w:szCs w:val="24"/>
              </w:rPr>
              <w:t>Sí Aplica</w:t>
            </w:r>
          </w:p>
        </w:tc>
      </w:tr>
      <w:tr w:rsidR="00E11A34" w:rsidRPr="005B4174" w:rsidTr="003E1929">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D1841">
            <w:pPr>
              <w:spacing w:after="101"/>
              <w:jc w:val="both"/>
              <w:rPr>
                <w:rFonts w:ascii="Arial" w:hAnsi="Arial" w:cs="Arial"/>
                <w:b/>
                <w:sz w:val="24"/>
                <w:szCs w:val="24"/>
              </w:rPr>
            </w:pPr>
            <w:r w:rsidRPr="005B4174">
              <w:rPr>
                <w:rFonts w:ascii="Arial" w:hAnsi="Arial" w:cs="Arial"/>
                <w:b/>
                <w:sz w:val="24"/>
                <w:szCs w:val="24"/>
              </w:rPr>
              <w:t>Fracción VII</w:t>
            </w:r>
            <w:r w:rsidRPr="005B4174">
              <w:rPr>
                <w:rFonts w:ascii="Arial" w:hAnsi="Arial" w:cs="Arial"/>
                <w:b/>
                <w:sz w:val="24"/>
                <w:szCs w:val="24"/>
              </w:rPr>
              <w:br w:type="page"/>
            </w:r>
            <w:r w:rsidRPr="005B4174">
              <w:rPr>
                <w:rFonts w:ascii="Arial" w:hAnsi="Arial" w:cs="Arial"/>
                <w:b/>
                <w:sz w:val="24"/>
                <w:szCs w:val="24"/>
              </w:rPr>
              <w:br w:type="page"/>
              <w:t xml:space="preserve">. </w:t>
            </w:r>
            <w:r w:rsidRPr="005B4174">
              <w:rPr>
                <w:rFonts w:ascii="Arial" w:hAnsi="Arial" w:cs="Arial"/>
                <w:sz w:val="24"/>
                <w:szCs w:val="24"/>
              </w:rPr>
              <w:t>Las versiones estenográficas</w:t>
            </w:r>
            <w:r w:rsidR="001733BD">
              <w:t xml:space="preserve"> </w:t>
            </w:r>
            <w:r w:rsidR="001733BD" w:rsidRPr="001733BD">
              <w:rPr>
                <w:rFonts w:ascii="Arial" w:hAnsi="Arial" w:cs="Arial"/>
                <w:sz w:val="24"/>
                <w:szCs w:val="24"/>
              </w:rPr>
              <w:t>del Pleno, Mesa Directiva, Comisiones (permanente, ordinarias y especiales) y Comités</w:t>
            </w:r>
            <w:r w:rsidRPr="005B4174">
              <w:rPr>
                <w:rFonts w:ascii="Arial" w:hAnsi="Arial" w:cs="Arial"/>
                <w:sz w:val="24"/>
                <w:szCs w:val="24"/>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tcPr>
          <w:p w:rsidR="00E11A34" w:rsidRDefault="006827C0" w:rsidP="00176876">
            <w:pPr>
              <w:jc w:val="center"/>
            </w:pPr>
            <w:r>
              <w:rPr>
                <w:rFonts w:ascii="Arial" w:hAnsi="Arial" w:cs="Arial"/>
                <w:b/>
                <w:sz w:val="24"/>
                <w:szCs w:val="24"/>
              </w:rPr>
              <w:t>Sí Aplica</w:t>
            </w:r>
          </w:p>
        </w:tc>
      </w:tr>
      <w:tr w:rsidR="00E11A34" w:rsidRPr="005B4174" w:rsidTr="00765BF7">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3454D">
            <w:pPr>
              <w:spacing w:after="101"/>
              <w:jc w:val="both"/>
              <w:rPr>
                <w:rFonts w:ascii="Arial" w:hAnsi="Arial" w:cs="Arial"/>
                <w:b/>
                <w:sz w:val="24"/>
                <w:szCs w:val="24"/>
              </w:rPr>
            </w:pPr>
            <w:r w:rsidRPr="005B4174">
              <w:rPr>
                <w:rFonts w:ascii="Arial" w:hAnsi="Arial" w:cs="Arial"/>
                <w:b/>
                <w:sz w:val="24"/>
                <w:szCs w:val="24"/>
              </w:rPr>
              <w:t xml:space="preserve">Fracción VIII. </w:t>
            </w:r>
            <w:r w:rsidR="0023454D" w:rsidRPr="0023454D">
              <w:rPr>
                <w:rFonts w:ascii="Arial" w:hAnsi="Arial" w:cs="Arial"/>
                <w:sz w:val="24"/>
                <w:szCs w:val="24"/>
              </w:rPr>
              <w:t>La lista de asistencia a las sesiones del Pleno, Órgano de Gobierno y de Comisiones y Comités;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tcPr>
          <w:p w:rsidR="00E11A34" w:rsidRDefault="006827C0" w:rsidP="00176876">
            <w:pPr>
              <w:jc w:val="center"/>
            </w:pPr>
            <w:r>
              <w:rPr>
                <w:rFonts w:ascii="Arial" w:hAnsi="Arial" w:cs="Arial"/>
                <w:b/>
                <w:sz w:val="24"/>
                <w:szCs w:val="24"/>
              </w:rPr>
              <w:t>Sí Aplica</w:t>
            </w:r>
          </w:p>
        </w:tc>
      </w:tr>
      <w:tr w:rsidR="00E11A34" w:rsidRPr="005B4174" w:rsidTr="00257466">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sidRPr="005B4174">
              <w:rPr>
                <w:rFonts w:ascii="Arial" w:hAnsi="Arial" w:cs="Arial"/>
                <w:b/>
                <w:sz w:val="24"/>
                <w:szCs w:val="24"/>
              </w:rPr>
              <w:t>Fracción IX.</w:t>
            </w:r>
            <w:r w:rsidRPr="005B4174">
              <w:rPr>
                <w:rFonts w:ascii="Arial" w:hAnsi="Arial" w:cs="Arial"/>
                <w:sz w:val="24"/>
                <w:szCs w:val="24"/>
              </w:rPr>
              <w:t xml:space="preserve">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257466">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E11A34">
            <w:pPr>
              <w:spacing w:after="101"/>
              <w:jc w:val="both"/>
              <w:rPr>
                <w:rFonts w:ascii="Arial" w:hAnsi="Arial" w:cs="Arial"/>
                <w:b/>
                <w:sz w:val="24"/>
                <w:szCs w:val="24"/>
              </w:rPr>
            </w:pPr>
            <w:r>
              <w:rPr>
                <w:rFonts w:ascii="Arial" w:hAnsi="Arial" w:cs="Arial"/>
                <w:b/>
                <w:sz w:val="24"/>
                <w:szCs w:val="24"/>
              </w:rPr>
              <w:t xml:space="preserve">Fracción XII. </w:t>
            </w:r>
            <w:r w:rsidRPr="00E11A34">
              <w:rPr>
                <w:rFonts w:ascii="Arial" w:hAnsi="Arial" w:cs="Arial"/>
                <w:sz w:val="24"/>
                <w:szCs w:val="24"/>
              </w:rPr>
              <w:t>Convocatorias, actas y acuerdos de cada una de las sesiones del Pleno, la Mesa Directiva, Órgano de Gobierno, las comisiones de análisis y dictamen legislativo o comités;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r w:rsidR="00E11A34" w:rsidRPr="005B4174" w:rsidTr="00E43AA6">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sidRPr="005B4174">
              <w:rPr>
                <w:rFonts w:ascii="Arial" w:hAnsi="Arial" w:cs="Arial"/>
                <w:b/>
                <w:sz w:val="24"/>
                <w:szCs w:val="24"/>
              </w:rPr>
              <w:t xml:space="preserve">Fracción XIII. </w:t>
            </w:r>
            <w:r w:rsidRPr="005B4174">
              <w:rPr>
                <w:rFonts w:ascii="Arial" w:hAnsi="Arial" w:cs="Arial"/>
                <w:sz w:val="24"/>
                <w:szCs w:val="24"/>
              </w:rPr>
              <w:t>Solicitudes presentadas de licencias temporales y definitivas;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E43AA6">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E11A34">
            <w:pPr>
              <w:spacing w:after="101"/>
              <w:jc w:val="both"/>
              <w:rPr>
                <w:rFonts w:ascii="Arial" w:hAnsi="Arial" w:cs="Arial"/>
                <w:b/>
                <w:sz w:val="24"/>
                <w:szCs w:val="24"/>
              </w:rPr>
            </w:pPr>
            <w:r>
              <w:rPr>
                <w:rFonts w:ascii="Arial" w:hAnsi="Arial" w:cs="Arial"/>
                <w:b/>
                <w:sz w:val="24"/>
                <w:szCs w:val="24"/>
              </w:rPr>
              <w:t xml:space="preserve">Fracción XV. </w:t>
            </w:r>
            <w:r w:rsidRPr="00FF11A4">
              <w:rPr>
                <w:rFonts w:ascii="Arial" w:hAnsi="Arial" w:cs="Arial"/>
                <w:sz w:val="24"/>
                <w:szCs w:val="24"/>
                <w:u w:val="single"/>
              </w:rPr>
              <w:t>Las versiones públicas de la información entregada en las audiencias públicas</w:t>
            </w:r>
            <w:r w:rsidRPr="00E11A34">
              <w:rPr>
                <w:rFonts w:ascii="Arial" w:hAnsi="Arial" w:cs="Arial"/>
                <w:sz w:val="24"/>
                <w:szCs w:val="24"/>
              </w:rPr>
              <w:t xml:space="preserve">, comparecencias </w:t>
            </w:r>
            <w:r w:rsidRPr="00FF11A4">
              <w:rPr>
                <w:rFonts w:ascii="Arial" w:hAnsi="Arial" w:cs="Arial"/>
                <w:sz w:val="24"/>
                <w:szCs w:val="24"/>
                <w:u w:val="single"/>
              </w:rPr>
              <w:t>y en los procedimientos de designación</w:t>
            </w:r>
            <w:r w:rsidRPr="00E11A34">
              <w:rPr>
                <w:rFonts w:ascii="Arial" w:hAnsi="Arial" w:cs="Arial"/>
                <w:sz w:val="24"/>
                <w:szCs w:val="24"/>
              </w:rPr>
              <w:t>, ratificación, elección, reelección o cualquier otro;</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r w:rsidR="00E11A34" w:rsidRPr="005B4174" w:rsidTr="00833C95">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AC7F8C" w:rsidRDefault="00E11A34" w:rsidP="002E3E9B">
            <w:pPr>
              <w:spacing w:after="101"/>
              <w:jc w:val="both"/>
              <w:rPr>
                <w:rFonts w:ascii="Arial" w:hAnsi="Arial" w:cs="Arial"/>
                <w:b/>
                <w:sz w:val="24"/>
                <w:szCs w:val="24"/>
                <w:highlight w:val="yellow"/>
              </w:rPr>
            </w:pPr>
            <w:r w:rsidRPr="00BD2E12">
              <w:rPr>
                <w:rFonts w:ascii="Arial" w:hAnsi="Arial" w:cs="Arial"/>
                <w:b/>
                <w:sz w:val="24"/>
                <w:szCs w:val="24"/>
              </w:rPr>
              <w:t xml:space="preserve">Fracción XVIII. </w:t>
            </w:r>
            <w:r w:rsidRPr="00BD2E12">
              <w:rPr>
                <w:rFonts w:ascii="Arial" w:hAnsi="Arial" w:cs="Arial"/>
                <w:sz w:val="24"/>
                <w:szCs w:val="24"/>
              </w:rPr>
              <w:t>Los resultados de los estudios o investigaciones de naturaleza económica, política y social que realicen los centros de estudio o investigación legislativa, y</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2F7008" w:rsidP="002F7008">
            <w:pPr>
              <w:spacing w:after="101"/>
              <w:jc w:val="center"/>
              <w:rPr>
                <w:rFonts w:ascii="Arial" w:hAnsi="Arial" w:cs="Arial"/>
                <w:sz w:val="24"/>
                <w:szCs w:val="24"/>
              </w:rPr>
            </w:pPr>
            <w:r>
              <w:rPr>
                <w:rFonts w:ascii="Arial" w:hAnsi="Arial" w:cs="Arial"/>
                <w:b/>
                <w:sz w:val="24"/>
                <w:szCs w:val="24"/>
              </w:rPr>
              <w:t>No</w:t>
            </w:r>
            <w:r w:rsidR="006827C0">
              <w:rPr>
                <w:rFonts w:ascii="Arial" w:hAnsi="Arial" w:cs="Arial"/>
                <w:b/>
                <w:sz w:val="24"/>
                <w:szCs w:val="24"/>
              </w:rPr>
              <w:t xml:space="preserve"> Aplica</w:t>
            </w:r>
          </w:p>
        </w:tc>
      </w:tr>
      <w:tr w:rsidR="00E11A34" w:rsidRPr="005B4174" w:rsidTr="00833C95">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sidRPr="005B4174">
              <w:rPr>
                <w:rFonts w:ascii="Arial" w:hAnsi="Arial" w:cs="Arial"/>
                <w:b/>
                <w:sz w:val="24"/>
                <w:szCs w:val="24"/>
              </w:rPr>
              <w:t xml:space="preserve">Fracción XXIII. </w:t>
            </w:r>
            <w:r w:rsidRPr="005B4174">
              <w:rPr>
                <w:rFonts w:ascii="Arial" w:hAnsi="Arial" w:cs="Arial"/>
                <w:sz w:val="24"/>
                <w:szCs w:val="24"/>
              </w:rPr>
              <w:t>Los convenios, acuerdos de colaboración, contrataciones de servicios personales o figuras análogas que se celebren, señalando el objeto, monto, vigencia del contrato, el nombre o razón social, el tiempo de duración y los compromisos que adquiera el Poder Legislativo, Comisiones, Comités y Grupos Parlamentarios</w:t>
            </w:r>
            <w:r w:rsidRPr="005B4174">
              <w:rPr>
                <w:rFonts w:ascii="Arial" w:hAnsi="Arial" w:cs="Arial"/>
                <w:b/>
                <w:sz w:val="24"/>
                <w:szCs w:val="24"/>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833C95">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sidRPr="005B4174">
              <w:rPr>
                <w:rFonts w:ascii="Arial" w:hAnsi="Arial" w:cs="Arial"/>
                <w:b/>
                <w:sz w:val="24"/>
                <w:szCs w:val="24"/>
              </w:rPr>
              <w:t>Fracción XXVIII</w:t>
            </w:r>
            <w:r w:rsidRPr="005B4174">
              <w:rPr>
                <w:rFonts w:ascii="Arial" w:hAnsi="Arial" w:cs="Arial"/>
                <w:sz w:val="24"/>
                <w:szCs w:val="24"/>
              </w:rPr>
              <w:t>. Los demás informes que deban presentarse conforme a su Ley Orgánica y demás normatividad interna;</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6827C0" w:rsidRDefault="00FF4475" w:rsidP="002E3E9B">
            <w:pPr>
              <w:spacing w:after="101"/>
              <w:jc w:val="center"/>
              <w:rPr>
                <w:rFonts w:ascii="Arial" w:hAnsi="Arial" w:cs="Arial"/>
                <w:b/>
                <w:sz w:val="24"/>
                <w:szCs w:val="24"/>
              </w:rPr>
            </w:pPr>
            <w:r>
              <w:rPr>
                <w:rFonts w:ascii="Arial" w:hAnsi="Arial" w:cs="Arial"/>
                <w:b/>
                <w:sz w:val="24"/>
                <w:szCs w:val="24"/>
              </w:rPr>
              <w:t>Si</w:t>
            </w:r>
            <w:r w:rsidR="005712CD">
              <w:rPr>
                <w:rFonts w:ascii="Arial" w:hAnsi="Arial" w:cs="Arial"/>
                <w:b/>
                <w:sz w:val="24"/>
                <w:szCs w:val="24"/>
              </w:rPr>
              <w:t xml:space="preserve"> Aplica</w:t>
            </w:r>
          </w:p>
        </w:tc>
      </w:tr>
      <w:tr w:rsidR="00E11A34" w:rsidRPr="005B4174" w:rsidTr="00833C95">
        <w:trPr>
          <w:trHeight w:val="20"/>
        </w:trPr>
        <w:tc>
          <w:tcPr>
            <w:tcW w:w="4181" w:type="dxa"/>
            <w:vMerge/>
            <w:tcBorders>
              <w:left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Pr>
                <w:rFonts w:ascii="Arial" w:hAnsi="Arial" w:cs="Arial"/>
                <w:b/>
                <w:sz w:val="24"/>
                <w:szCs w:val="24"/>
              </w:rPr>
              <w:t xml:space="preserve">Fracción XXIX. </w:t>
            </w:r>
            <w:r w:rsidRPr="00E11A34">
              <w:rPr>
                <w:rFonts w:ascii="Arial" w:hAnsi="Arial" w:cs="Arial"/>
                <w:sz w:val="24"/>
                <w:szCs w:val="24"/>
              </w:rPr>
              <w:t>El padrón de cabilderos, de acuerdo a la normatividad aplicable;</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176876" w:rsidRDefault="006827C0" w:rsidP="00FF4475">
            <w:pPr>
              <w:spacing w:after="101"/>
              <w:jc w:val="center"/>
              <w:rPr>
                <w:rFonts w:ascii="Arial" w:hAnsi="Arial" w:cs="Arial"/>
                <w:b/>
                <w:sz w:val="24"/>
                <w:szCs w:val="24"/>
              </w:rPr>
            </w:pPr>
            <w:r>
              <w:rPr>
                <w:rFonts w:ascii="Arial" w:hAnsi="Arial" w:cs="Arial"/>
                <w:b/>
                <w:sz w:val="24"/>
                <w:szCs w:val="24"/>
              </w:rPr>
              <w:t>N</w:t>
            </w:r>
            <w:r w:rsidR="00FF4475">
              <w:rPr>
                <w:rFonts w:ascii="Arial" w:hAnsi="Arial" w:cs="Arial"/>
                <w:b/>
                <w:sz w:val="24"/>
                <w:szCs w:val="24"/>
              </w:rPr>
              <w:t>o</w:t>
            </w:r>
            <w:r>
              <w:rPr>
                <w:rFonts w:ascii="Arial" w:hAnsi="Arial" w:cs="Arial"/>
                <w:b/>
                <w:sz w:val="24"/>
                <w:szCs w:val="24"/>
              </w:rPr>
              <w:t xml:space="preserve"> Aplica</w:t>
            </w:r>
          </w:p>
        </w:tc>
      </w:tr>
      <w:tr w:rsidR="00E11A34" w:rsidRPr="005B4174" w:rsidTr="00833C95">
        <w:trPr>
          <w:trHeight w:val="20"/>
        </w:trPr>
        <w:tc>
          <w:tcPr>
            <w:tcW w:w="4181" w:type="dxa"/>
            <w:vMerge/>
            <w:tcBorders>
              <w:left w:val="single" w:sz="6" w:space="0" w:color="auto"/>
              <w:bottom w:val="nil"/>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sidRPr="005B4174">
              <w:rPr>
                <w:rFonts w:ascii="Arial" w:hAnsi="Arial" w:cs="Arial"/>
                <w:b/>
                <w:sz w:val="24"/>
                <w:szCs w:val="24"/>
              </w:rPr>
              <w:t xml:space="preserve">Fracción XXXI. </w:t>
            </w:r>
            <w:bookmarkStart w:id="0" w:name="_GoBack"/>
            <w:bookmarkEnd w:id="0"/>
            <w:r w:rsidRPr="00F7279E">
              <w:rPr>
                <w:rFonts w:ascii="Arial" w:hAnsi="Arial" w:cs="Arial"/>
                <w:sz w:val="24"/>
                <w:szCs w:val="24"/>
                <w:u w:val="single"/>
              </w:rPr>
              <w:t>La integración del órgano que conduce las sesiones del Pleno, el órgano colegiado de gobierno que dirige el ejercicio de las funciones legislativas, políticas y administrativas del Poder</w:t>
            </w:r>
            <w:r w:rsidRPr="005B4174">
              <w:rPr>
                <w:rFonts w:ascii="Arial" w:hAnsi="Arial" w:cs="Arial"/>
                <w:sz w:val="24"/>
                <w:szCs w:val="24"/>
              </w:rPr>
              <w:t xml:space="preserve"> </w:t>
            </w:r>
            <w:r w:rsidRPr="00F7279E">
              <w:rPr>
                <w:rFonts w:ascii="Arial" w:hAnsi="Arial" w:cs="Arial"/>
                <w:sz w:val="24"/>
                <w:szCs w:val="24"/>
                <w:u w:val="single"/>
              </w:rPr>
              <w:t>legislativo</w:t>
            </w:r>
            <w:r w:rsidRPr="005B4174">
              <w:rPr>
                <w:rFonts w:ascii="Arial" w:hAnsi="Arial" w:cs="Arial"/>
                <w:sz w:val="24"/>
                <w:szCs w:val="24"/>
              </w:rPr>
              <w:t>, así como la Diputación Permanente que entra en funciones en los periodos de receso, indicar de cada uno el periodo de vigencia de dicha integración, especificando fechas</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6827C0" w:rsidP="002E3E9B">
            <w:pPr>
              <w:spacing w:after="101"/>
              <w:jc w:val="center"/>
              <w:rPr>
                <w:rFonts w:ascii="Arial" w:hAnsi="Arial" w:cs="Arial"/>
                <w:sz w:val="24"/>
                <w:szCs w:val="24"/>
              </w:rPr>
            </w:pPr>
            <w:r>
              <w:rPr>
                <w:rFonts w:ascii="Arial" w:hAnsi="Arial" w:cs="Arial"/>
                <w:b/>
                <w:sz w:val="24"/>
                <w:szCs w:val="24"/>
              </w:rPr>
              <w:t>Sí Aplica</w:t>
            </w:r>
          </w:p>
        </w:tc>
      </w:tr>
      <w:tr w:rsidR="00E11A34" w:rsidRPr="005B4174" w:rsidTr="00125895">
        <w:trPr>
          <w:trHeight w:val="20"/>
        </w:trPr>
        <w:tc>
          <w:tcPr>
            <w:tcW w:w="4181" w:type="dxa"/>
            <w:tcBorders>
              <w:top w:val="nil"/>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jc w:val="center"/>
              <w:rPr>
                <w:rFonts w:ascii="Arial" w:hAnsi="Arial" w:cs="Arial"/>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5B4174" w:rsidRDefault="00E11A34" w:rsidP="002E3E9B">
            <w:pPr>
              <w:spacing w:after="101"/>
              <w:jc w:val="both"/>
              <w:rPr>
                <w:rFonts w:ascii="Arial" w:hAnsi="Arial" w:cs="Arial"/>
                <w:b/>
                <w:sz w:val="24"/>
                <w:szCs w:val="24"/>
              </w:rPr>
            </w:pPr>
            <w:r>
              <w:rPr>
                <w:rFonts w:ascii="Arial" w:hAnsi="Arial" w:cs="Arial"/>
                <w:b/>
                <w:sz w:val="24"/>
                <w:szCs w:val="24"/>
              </w:rPr>
              <w:t xml:space="preserve">Fracción XXXV. </w:t>
            </w:r>
            <w:r w:rsidRPr="00E11A34">
              <w:rPr>
                <w:rFonts w:ascii="Arial" w:hAnsi="Arial" w:cs="Arial"/>
                <w:sz w:val="24"/>
                <w:szCs w:val="24"/>
              </w:rPr>
              <w:t xml:space="preserve">Una descripción </w:t>
            </w:r>
            <w:r>
              <w:rPr>
                <w:rFonts w:ascii="Arial" w:hAnsi="Arial" w:cs="Arial"/>
                <w:sz w:val="24"/>
                <w:szCs w:val="24"/>
              </w:rPr>
              <w:t>general del proceso legislativo</w:t>
            </w:r>
          </w:p>
        </w:tc>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1A34" w:rsidRPr="00176876" w:rsidRDefault="006827C0" w:rsidP="002E3E9B">
            <w:pPr>
              <w:spacing w:after="101"/>
              <w:jc w:val="center"/>
              <w:rPr>
                <w:rFonts w:ascii="Arial" w:hAnsi="Arial" w:cs="Arial"/>
                <w:b/>
                <w:sz w:val="24"/>
                <w:szCs w:val="24"/>
              </w:rPr>
            </w:pPr>
            <w:r>
              <w:rPr>
                <w:rFonts w:ascii="Arial" w:hAnsi="Arial" w:cs="Arial"/>
                <w:b/>
                <w:sz w:val="24"/>
                <w:szCs w:val="24"/>
              </w:rPr>
              <w:t>Sí Aplica</w:t>
            </w:r>
          </w:p>
        </w:tc>
      </w:tr>
    </w:tbl>
    <w:p w:rsidR="001A1303" w:rsidRDefault="001A1303" w:rsidP="00B62D06">
      <w:pPr>
        <w:jc w:val="both"/>
        <w:rPr>
          <w:rFonts w:ascii="Arial" w:hAnsi="Arial" w:cs="Arial"/>
          <w:b/>
          <w:sz w:val="24"/>
          <w:szCs w:val="24"/>
        </w:rPr>
      </w:pPr>
    </w:p>
    <w:sectPr w:rsidR="001A1303" w:rsidSect="007B6725">
      <w:headerReference w:type="default" r:id="rId9"/>
      <w:footerReference w:type="default" r:id="rId1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BB" w:rsidRDefault="00312ABB" w:rsidP="00AC6965">
      <w:r>
        <w:separator/>
      </w:r>
    </w:p>
  </w:endnote>
  <w:endnote w:type="continuationSeparator" w:id="0">
    <w:p w:rsidR="00312ABB" w:rsidRDefault="00312ABB" w:rsidP="00A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B" w:rsidRDefault="002E3E9B" w:rsidP="00F32C70">
    <w:pPr>
      <w:pStyle w:val="Piedepgina"/>
      <w:pBdr>
        <w:top w:val="thinThickSmallGap" w:sz="24" w:space="1" w:color="622423" w:themeColor="accent2" w:themeShade="7F"/>
      </w:pBdr>
      <w:rPr>
        <w:rFonts w:ascii="Arial" w:hAnsi="Arial" w:cs="Arial"/>
        <w:noProof/>
        <w:sz w:val="18"/>
        <w:szCs w:val="18"/>
      </w:rPr>
    </w:pPr>
    <w:r w:rsidRPr="00736C42">
      <w:rPr>
        <w:rFonts w:ascii="Arial" w:hAnsi="Arial" w:cs="Arial"/>
        <w:sz w:val="20"/>
        <w:szCs w:val="24"/>
      </w:rPr>
      <w:t>Asamblea Constituyente de la Ciudad de México</w:t>
    </w:r>
    <w:r w:rsidRPr="003A77E4">
      <w:rPr>
        <w:rFonts w:ascii="Arial" w:hAnsi="Arial" w:cs="Arial"/>
        <w:sz w:val="18"/>
        <w:szCs w:val="18"/>
      </w:rPr>
      <w:t xml:space="preserve"> </w:t>
    </w:r>
    <w:r w:rsidRPr="003A77E4">
      <w:rPr>
        <w:rFonts w:ascii="Arial" w:hAnsi="Arial" w:cs="Arial"/>
        <w:sz w:val="18"/>
        <w:szCs w:val="18"/>
      </w:rPr>
      <w:ptab w:relativeTo="margin" w:alignment="right" w:leader="none"/>
    </w:r>
    <w:r w:rsidRPr="003A77E4">
      <w:rPr>
        <w:rFonts w:ascii="Arial" w:hAnsi="Arial" w:cs="Arial"/>
        <w:sz w:val="18"/>
        <w:szCs w:val="18"/>
      </w:rPr>
      <w:t xml:space="preserve">Página </w:t>
    </w:r>
    <w:r w:rsidR="00AA08BB" w:rsidRPr="003A77E4">
      <w:rPr>
        <w:rFonts w:ascii="Arial" w:hAnsi="Arial" w:cs="Arial"/>
        <w:sz w:val="18"/>
        <w:szCs w:val="18"/>
      </w:rPr>
      <w:fldChar w:fldCharType="begin"/>
    </w:r>
    <w:r w:rsidRPr="003A77E4">
      <w:rPr>
        <w:rFonts w:ascii="Arial" w:hAnsi="Arial" w:cs="Arial"/>
        <w:sz w:val="18"/>
        <w:szCs w:val="18"/>
      </w:rPr>
      <w:instrText xml:space="preserve"> PAGE   \* MERGEFORMAT </w:instrText>
    </w:r>
    <w:r w:rsidR="00AA08BB" w:rsidRPr="003A77E4">
      <w:rPr>
        <w:rFonts w:ascii="Arial" w:hAnsi="Arial" w:cs="Arial"/>
        <w:sz w:val="18"/>
        <w:szCs w:val="18"/>
      </w:rPr>
      <w:fldChar w:fldCharType="separate"/>
    </w:r>
    <w:r w:rsidR="00312ABB">
      <w:rPr>
        <w:rFonts w:ascii="Arial" w:hAnsi="Arial" w:cs="Arial"/>
        <w:noProof/>
        <w:sz w:val="18"/>
        <w:szCs w:val="18"/>
      </w:rPr>
      <w:t>1</w:t>
    </w:r>
    <w:r w:rsidR="00AA08BB" w:rsidRPr="003A77E4">
      <w:rPr>
        <w:rFonts w:ascii="Arial" w:hAnsi="Arial" w:cs="Arial"/>
        <w:sz w:val="18"/>
        <w:szCs w:val="18"/>
      </w:rPr>
      <w:fldChar w:fldCharType="end"/>
    </w:r>
    <w:r>
      <w:rPr>
        <w:rFonts w:ascii="Arial" w:hAnsi="Arial" w:cs="Arial"/>
        <w:sz w:val="18"/>
        <w:szCs w:val="18"/>
      </w:rPr>
      <w:t>/</w:t>
    </w:r>
    <w:r w:rsidR="00312ABB">
      <w:fldChar w:fldCharType="begin"/>
    </w:r>
    <w:r w:rsidR="00312ABB">
      <w:instrText xml:space="preserve"> NUMPAGES   \* MERGEFORMAT </w:instrText>
    </w:r>
    <w:r w:rsidR="00312ABB">
      <w:fldChar w:fldCharType="separate"/>
    </w:r>
    <w:r w:rsidR="00312ABB" w:rsidRPr="00312ABB">
      <w:rPr>
        <w:rFonts w:ascii="Arial" w:hAnsi="Arial" w:cs="Arial"/>
        <w:noProof/>
        <w:sz w:val="18"/>
        <w:szCs w:val="18"/>
      </w:rPr>
      <w:t>1</w:t>
    </w:r>
    <w:r w:rsidR="00312ABB">
      <w:rPr>
        <w:rFonts w:ascii="Arial" w:hAnsi="Arial" w:cs="Arial"/>
        <w:noProof/>
        <w:sz w:val="18"/>
        <w:szCs w:val="18"/>
      </w:rPr>
      <w:fldChar w:fldCharType="end"/>
    </w:r>
  </w:p>
  <w:p w:rsidR="00B62D06" w:rsidRPr="003A77E4" w:rsidRDefault="00B62D06" w:rsidP="00F32C70">
    <w:pPr>
      <w:pStyle w:val="Piedepgina"/>
      <w:pBdr>
        <w:top w:val="thinThickSmallGap" w:sz="24" w:space="1" w:color="622423" w:themeColor="accent2" w:themeShade="7F"/>
      </w:pBd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BB" w:rsidRDefault="00312ABB" w:rsidP="00AC6965">
      <w:r>
        <w:separator/>
      </w:r>
    </w:p>
  </w:footnote>
  <w:footnote w:type="continuationSeparator" w:id="0">
    <w:p w:rsidR="00312ABB" w:rsidRDefault="00312ABB" w:rsidP="00A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B" w:rsidRDefault="002E3E9B" w:rsidP="00AC6965">
    <w:pPr>
      <w:tabs>
        <w:tab w:val="left" w:pos="1455"/>
        <w:tab w:val="left" w:pos="3020"/>
        <w:tab w:val="center" w:pos="4420"/>
        <w:tab w:val="right" w:pos="8647"/>
      </w:tabs>
      <w:ind w:left="-567"/>
      <w:rPr>
        <w:rFonts w:ascii="Arial" w:hAnsi="Arial" w:cs="Arial"/>
        <w:color w:val="07888A"/>
        <w:sz w:val="28"/>
        <w:lang w:val="es-MX"/>
      </w:rPr>
    </w:pPr>
    <w:r>
      <w:rPr>
        <w:noProof/>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-224155</wp:posOffset>
          </wp:positionV>
          <wp:extent cx="1905000" cy="1028700"/>
          <wp:effectExtent l="0" t="0" r="0" b="0"/>
          <wp:wrapTight wrapText="bothSides">
            <wp:wrapPolygon edited="0">
              <wp:start x="0" y="0"/>
              <wp:lineTo x="0" y="21200"/>
              <wp:lineTo x="21384" y="21200"/>
              <wp:lineTo x="21384"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905000" cy="1028700"/>
                  </a:xfrm>
                  <a:prstGeom prst="rect">
                    <a:avLst/>
                  </a:prstGeom>
                  <a:noFill/>
                </pic:spPr>
              </pic:pic>
            </a:graphicData>
          </a:graphic>
        </wp:anchor>
      </w:drawing>
    </w:r>
  </w:p>
  <w:p w:rsidR="002E3E9B" w:rsidRDefault="002E3E9B" w:rsidP="00AC6965">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 y</w:t>
    </w:r>
  </w:p>
  <w:p w:rsidR="002E3E9B" w:rsidRDefault="002E3E9B" w:rsidP="00AC6965">
    <w:pPr>
      <w:tabs>
        <w:tab w:val="left" w:pos="1455"/>
        <w:tab w:val="left" w:pos="3020"/>
        <w:tab w:val="center" w:pos="4420"/>
        <w:tab w:val="right" w:pos="8647"/>
      </w:tabs>
      <w:ind w:left="-567"/>
      <w:jc w:val="right"/>
      <w:rPr>
        <w:rFonts w:ascii="Arial" w:hAnsi="Arial" w:cs="Arial"/>
        <w:color w:val="07888A"/>
        <w:sz w:val="28"/>
        <w:lang w:val="es-MX"/>
      </w:rPr>
    </w:pPr>
    <w:r>
      <w:rPr>
        <w:rFonts w:ascii="Arial" w:hAnsi="Arial" w:cs="Arial"/>
        <w:color w:val="07888A"/>
        <w:sz w:val="28"/>
        <w:lang w:val="es-MX"/>
      </w:rPr>
      <w:t xml:space="preserve">Protección de Datos Personales </w:t>
    </w:r>
    <w:r w:rsidRPr="00D46DFE">
      <w:rPr>
        <w:rFonts w:ascii="Arial" w:hAnsi="Arial" w:cs="Arial"/>
        <w:color w:val="07888A"/>
        <w:sz w:val="28"/>
        <w:lang w:val="es-MX"/>
      </w:rPr>
      <w:t>del Distrito Federal</w:t>
    </w:r>
  </w:p>
  <w:p w:rsidR="002E3E9B" w:rsidRDefault="002E3E9B" w:rsidP="00AC6965">
    <w:pPr>
      <w:tabs>
        <w:tab w:val="left" w:pos="1455"/>
        <w:tab w:val="left" w:pos="3020"/>
        <w:tab w:val="center" w:pos="4420"/>
        <w:tab w:val="right" w:pos="8647"/>
      </w:tabs>
      <w:ind w:left="-567"/>
      <w:jc w:val="right"/>
      <w:rPr>
        <w:rFonts w:ascii="Arial" w:hAnsi="Arial" w:cs="Arial"/>
        <w:color w:val="07888A"/>
        <w:sz w:val="28"/>
        <w:lang w:val="es-MX"/>
      </w:rPr>
    </w:pPr>
  </w:p>
  <w:p w:rsidR="002E3E9B" w:rsidRPr="00D46DFE" w:rsidRDefault="002E3E9B" w:rsidP="00AC6965">
    <w:pPr>
      <w:tabs>
        <w:tab w:val="left" w:pos="1455"/>
        <w:tab w:val="left" w:pos="3020"/>
        <w:tab w:val="center" w:pos="4420"/>
        <w:tab w:val="right" w:pos="8647"/>
      </w:tabs>
      <w:ind w:left="-567"/>
      <w:jc w:val="right"/>
      <w:rPr>
        <w:rFonts w:ascii="Arial" w:hAnsi="Arial" w:cs="Arial"/>
        <w:color w:val="07888A"/>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AF9"/>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2A14CE"/>
    <w:multiLevelType w:val="hybridMultilevel"/>
    <w:tmpl w:val="6BA056EE"/>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8D6A1A"/>
    <w:multiLevelType w:val="hybridMultilevel"/>
    <w:tmpl w:val="F34C6BF4"/>
    <w:lvl w:ilvl="0" w:tplc="192060A4">
      <w:start w:val="1"/>
      <w:numFmt w:val="lowerLetter"/>
      <w:lvlText w:val="%1)"/>
      <w:lvlJc w:val="left"/>
      <w:pPr>
        <w:ind w:left="825" w:hanging="465"/>
      </w:pPr>
      <w:rPr>
        <w:rFonts w:hint="default"/>
        <w:color w:val="31849B" w:themeColor="accent5"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D31DC3"/>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9213CC"/>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23082F"/>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128B5"/>
    <w:rsid w:val="0000342F"/>
    <w:rsid w:val="000075E0"/>
    <w:rsid w:val="0001163D"/>
    <w:rsid w:val="0001203A"/>
    <w:rsid w:val="00022D7E"/>
    <w:rsid w:val="00024638"/>
    <w:rsid w:val="00030DC1"/>
    <w:rsid w:val="000331F5"/>
    <w:rsid w:val="000528A5"/>
    <w:rsid w:val="0005765A"/>
    <w:rsid w:val="000622B5"/>
    <w:rsid w:val="00063C74"/>
    <w:rsid w:val="00065B80"/>
    <w:rsid w:val="000771CC"/>
    <w:rsid w:val="000778BA"/>
    <w:rsid w:val="00091501"/>
    <w:rsid w:val="0009265D"/>
    <w:rsid w:val="000A172B"/>
    <w:rsid w:val="000A3329"/>
    <w:rsid w:val="000B1345"/>
    <w:rsid w:val="000B365B"/>
    <w:rsid w:val="000C3EA7"/>
    <w:rsid w:val="000C666E"/>
    <w:rsid w:val="000E63C2"/>
    <w:rsid w:val="00101328"/>
    <w:rsid w:val="001128D2"/>
    <w:rsid w:val="00115AB7"/>
    <w:rsid w:val="00122A5B"/>
    <w:rsid w:val="00123BC4"/>
    <w:rsid w:val="00125895"/>
    <w:rsid w:val="00141734"/>
    <w:rsid w:val="001508F3"/>
    <w:rsid w:val="001510F2"/>
    <w:rsid w:val="00151179"/>
    <w:rsid w:val="00154D7E"/>
    <w:rsid w:val="0016607D"/>
    <w:rsid w:val="00170D7A"/>
    <w:rsid w:val="001733BD"/>
    <w:rsid w:val="0017431C"/>
    <w:rsid w:val="00176876"/>
    <w:rsid w:val="00181CBE"/>
    <w:rsid w:val="00183329"/>
    <w:rsid w:val="00193619"/>
    <w:rsid w:val="001A0201"/>
    <w:rsid w:val="001A1303"/>
    <w:rsid w:val="001A5743"/>
    <w:rsid w:val="001A67F9"/>
    <w:rsid w:val="001B5FB0"/>
    <w:rsid w:val="001B6E74"/>
    <w:rsid w:val="001F3E35"/>
    <w:rsid w:val="002032C4"/>
    <w:rsid w:val="00206244"/>
    <w:rsid w:val="0021221B"/>
    <w:rsid w:val="00215E76"/>
    <w:rsid w:val="00227CA2"/>
    <w:rsid w:val="00233ACB"/>
    <w:rsid w:val="0023454D"/>
    <w:rsid w:val="00243BCC"/>
    <w:rsid w:val="00244C70"/>
    <w:rsid w:val="002453D8"/>
    <w:rsid w:val="002559E2"/>
    <w:rsid w:val="00256938"/>
    <w:rsid w:val="00265D59"/>
    <w:rsid w:val="002759D4"/>
    <w:rsid w:val="0027767D"/>
    <w:rsid w:val="00282700"/>
    <w:rsid w:val="00283AE1"/>
    <w:rsid w:val="00284EDC"/>
    <w:rsid w:val="00287B45"/>
    <w:rsid w:val="00295BCE"/>
    <w:rsid w:val="002A0B42"/>
    <w:rsid w:val="002A0F06"/>
    <w:rsid w:val="002A3D9B"/>
    <w:rsid w:val="002B3CD2"/>
    <w:rsid w:val="002D0152"/>
    <w:rsid w:val="002D1841"/>
    <w:rsid w:val="002D4731"/>
    <w:rsid w:val="002D7ED6"/>
    <w:rsid w:val="002E376F"/>
    <w:rsid w:val="002E3E9B"/>
    <w:rsid w:val="002E7810"/>
    <w:rsid w:val="002F0EB5"/>
    <w:rsid w:val="002F7008"/>
    <w:rsid w:val="0030416A"/>
    <w:rsid w:val="0030654C"/>
    <w:rsid w:val="00312ABB"/>
    <w:rsid w:val="00322C2E"/>
    <w:rsid w:val="003314FB"/>
    <w:rsid w:val="00335380"/>
    <w:rsid w:val="00340BC2"/>
    <w:rsid w:val="00344D81"/>
    <w:rsid w:val="003526A3"/>
    <w:rsid w:val="003529EB"/>
    <w:rsid w:val="003536EE"/>
    <w:rsid w:val="00354889"/>
    <w:rsid w:val="00356189"/>
    <w:rsid w:val="00360EE6"/>
    <w:rsid w:val="00364D04"/>
    <w:rsid w:val="00392DD4"/>
    <w:rsid w:val="003966BF"/>
    <w:rsid w:val="003A5612"/>
    <w:rsid w:val="003A65CE"/>
    <w:rsid w:val="003B2266"/>
    <w:rsid w:val="003B5DBC"/>
    <w:rsid w:val="003C180C"/>
    <w:rsid w:val="003C695B"/>
    <w:rsid w:val="003D0591"/>
    <w:rsid w:val="003D15F0"/>
    <w:rsid w:val="003D66ED"/>
    <w:rsid w:val="003E6A91"/>
    <w:rsid w:val="004307FD"/>
    <w:rsid w:val="004312F5"/>
    <w:rsid w:val="00431C30"/>
    <w:rsid w:val="00435A8B"/>
    <w:rsid w:val="00440865"/>
    <w:rsid w:val="00442E9D"/>
    <w:rsid w:val="00447A2A"/>
    <w:rsid w:val="00447ED2"/>
    <w:rsid w:val="00452341"/>
    <w:rsid w:val="004578C3"/>
    <w:rsid w:val="00465083"/>
    <w:rsid w:val="00466010"/>
    <w:rsid w:val="004740C3"/>
    <w:rsid w:val="00475785"/>
    <w:rsid w:val="00484D2A"/>
    <w:rsid w:val="0049056B"/>
    <w:rsid w:val="0049085E"/>
    <w:rsid w:val="00493EBD"/>
    <w:rsid w:val="004C5BB2"/>
    <w:rsid w:val="004D6025"/>
    <w:rsid w:val="004D79EF"/>
    <w:rsid w:val="004E6205"/>
    <w:rsid w:val="004F06CB"/>
    <w:rsid w:val="004F6963"/>
    <w:rsid w:val="004F7D3A"/>
    <w:rsid w:val="005159E0"/>
    <w:rsid w:val="00532ABA"/>
    <w:rsid w:val="005372A6"/>
    <w:rsid w:val="00546C2B"/>
    <w:rsid w:val="005479DC"/>
    <w:rsid w:val="00552F4B"/>
    <w:rsid w:val="0055464B"/>
    <w:rsid w:val="0056533A"/>
    <w:rsid w:val="005712CD"/>
    <w:rsid w:val="00577B59"/>
    <w:rsid w:val="00581BAF"/>
    <w:rsid w:val="005839AB"/>
    <w:rsid w:val="00584DF0"/>
    <w:rsid w:val="00585D07"/>
    <w:rsid w:val="00590867"/>
    <w:rsid w:val="005B4174"/>
    <w:rsid w:val="005B554A"/>
    <w:rsid w:val="005B7BEF"/>
    <w:rsid w:val="005D2013"/>
    <w:rsid w:val="005D4B97"/>
    <w:rsid w:val="005E2C44"/>
    <w:rsid w:val="005F0232"/>
    <w:rsid w:val="005F4FCF"/>
    <w:rsid w:val="005F5E6E"/>
    <w:rsid w:val="005F6E20"/>
    <w:rsid w:val="005F77E7"/>
    <w:rsid w:val="00601707"/>
    <w:rsid w:val="006025EC"/>
    <w:rsid w:val="00615AAC"/>
    <w:rsid w:val="00622CDE"/>
    <w:rsid w:val="006400AA"/>
    <w:rsid w:val="0064372A"/>
    <w:rsid w:val="00650CD1"/>
    <w:rsid w:val="00650E7C"/>
    <w:rsid w:val="00655D25"/>
    <w:rsid w:val="006602F3"/>
    <w:rsid w:val="00673503"/>
    <w:rsid w:val="006827C0"/>
    <w:rsid w:val="00695C22"/>
    <w:rsid w:val="00696C08"/>
    <w:rsid w:val="006A219B"/>
    <w:rsid w:val="006B0FC0"/>
    <w:rsid w:val="006B2471"/>
    <w:rsid w:val="006B2541"/>
    <w:rsid w:val="007148F1"/>
    <w:rsid w:val="0071571F"/>
    <w:rsid w:val="00723AB2"/>
    <w:rsid w:val="00736C42"/>
    <w:rsid w:val="0074198B"/>
    <w:rsid w:val="0074336F"/>
    <w:rsid w:val="00752A1C"/>
    <w:rsid w:val="0076263D"/>
    <w:rsid w:val="007655A3"/>
    <w:rsid w:val="007740C4"/>
    <w:rsid w:val="007833BB"/>
    <w:rsid w:val="007B63C0"/>
    <w:rsid w:val="007B6725"/>
    <w:rsid w:val="007C0A77"/>
    <w:rsid w:val="007C21CB"/>
    <w:rsid w:val="007C3743"/>
    <w:rsid w:val="007C60D0"/>
    <w:rsid w:val="007C66AE"/>
    <w:rsid w:val="007E0DD3"/>
    <w:rsid w:val="007E3101"/>
    <w:rsid w:val="007E4029"/>
    <w:rsid w:val="007F4BB1"/>
    <w:rsid w:val="0081049F"/>
    <w:rsid w:val="00810D70"/>
    <w:rsid w:val="008145F9"/>
    <w:rsid w:val="00823E50"/>
    <w:rsid w:val="00824E20"/>
    <w:rsid w:val="008277AD"/>
    <w:rsid w:val="008376FE"/>
    <w:rsid w:val="008554B7"/>
    <w:rsid w:val="0086648E"/>
    <w:rsid w:val="008667B8"/>
    <w:rsid w:val="00880A3A"/>
    <w:rsid w:val="0088310B"/>
    <w:rsid w:val="00894B52"/>
    <w:rsid w:val="008A35EB"/>
    <w:rsid w:val="008A6901"/>
    <w:rsid w:val="008B2BB0"/>
    <w:rsid w:val="008B67A9"/>
    <w:rsid w:val="008C1CF7"/>
    <w:rsid w:val="008D2E4A"/>
    <w:rsid w:val="008D7BE9"/>
    <w:rsid w:val="008E5F85"/>
    <w:rsid w:val="008E6565"/>
    <w:rsid w:val="008F3E18"/>
    <w:rsid w:val="008F70DB"/>
    <w:rsid w:val="00901107"/>
    <w:rsid w:val="0090186D"/>
    <w:rsid w:val="00902F9F"/>
    <w:rsid w:val="00911219"/>
    <w:rsid w:val="00912C63"/>
    <w:rsid w:val="00914133"/>
    <w:rsid w:val="00914EB8"/>
    <w:rsid w:val="00916B85"/>
    <w:rsid w:val="009259DD"/>
    <w:rsid w:val="00934C8F"/>
    <w:rsid w:val="00935E71"/>
    <w:rsid w:val="009457B7"/>
    <w:rsid w:val="009523AF"/>
    <w:rsid w:val="009607A9"/>
    <w:rsid w:val="0096269D"/>
    <w:rsid w:val="00966B83"/>
    <w:rsid w:val="00986681"/>
    <w:rsid w:val="00991016"/>
    <w:rsid w:val="00991872"/>
    <w:rsid w:val="009A6D25"/>
    <w:rsid w:val="009B0685"/>
    <w:rsid w:val="009B0C97"/>
    <w:rsid w:val="009B16E9"/>
    <w:rsid w:val="009B1FA0"/>
    <w:rsid w:val="009B3A3C"/>
    <w:rsid w:val="009C2937"/>
    <w:rsid w:val="009C70AA"/>
    <w:rsid w:val="009D425D"/>
    <w:rsid w:val="009D4736"/>
    <w:rsid w:val="009E5324"/>
    <w:rsid w:val="009F47AA"/>
    <w:rsid w:val="009F72B0"/>
    <w:rsid w:val="00A04810"/>
    <w:rsid w:val="00A050FC"/>
    <w:rsid w:val="00A1196F"/>
    <w:rsid w:val="00A20B4B"/>
    <w:rsid w:val="00A22386"/>
    <w:rsid w:val="00A2586B"/>
    <w:rsid w:val="00A349FF"/>
    <w:rsid w:val="00A3782E"/>
    <w:rsid w:val="00A4327B"/>
    <w:rsid w:val="00A473BD"/>
    <w:rsid w:val="00A52081"/>
    <w:rsid w:val="00A5336F"/>
    <w:rsid w:val="00A55F72"/>
    <w:rsid w:val="00A56E0D"/>
    <w:rsid w:val="00A61977"/>
    <w:rsid w:val="00A64B59"/>
    <w:rsid w:val="00A65A87"/>
    <w:rsid w:val="00A66966"/>
    <w:rsid w:val="00A75858"/>
    <w:rsid w:val="00A851E0"/>
    <w:rsid w:val="00A97E99"/>
    <w:rsid w:val="00AA08BB"/>
    <w:rsid w:val="00AA3A41"/>
    <w:rsid w:val="00AA406A"/>
    <w:rsid w:val="00AB2567"/>
    <w:rsid w:val="00AB26EE"/>
    <w:rsid w:val="00AB298B"/>
    <w:rsid w:val="00AB2ABD"/>
    <w:rsid w:val="00AB723A"/>
    <w:rsid w:val="00AC23DD"/>
    <w:rsid w:val="00AC26A6"/>
    <w:rsid w:val="00AC6965"/>
    <w:rsid w:val="00AC7F8C"/>
    <w:rsid w:val="00AF033E"/>
    <w:rsid w:val="00AF4D31"/>
    <w:rsid w:val="00B02A35"/>
    <w:rsid w:val="00B04C0E"/>
    <w:rsid w:val="00B04F04"/>
    <w:rsid w:val="00B06343"/>
    <w:rsid w:val="00B07C97"/>
    <w:rsid w:val="00B21A8E"/>
    <w:rsid w:val="00B22B20"/>
    <w:rsid w:val="00B359C3"/>
    <w:rsid w:val="00B51B9B"/>
    <w:rsid w:val="00B6180B"/>
    <w:rsid w:val="00B62D06"/>
    <w:rsid w:val="00B63532"/>
    <w:rsid w:val="00B66BE7"/>
    <w:rsid w:val="00B834E4"/>
    <w:rsid w:val="00B93107"/>
    <w:rsid w:val="00B95C6A"/>
    <w:rsid w:val="00B95E10"/>
    <w:rsid w:val="00BA1561"/>
    <w:rsid w:val="00BB7715"/>
    <w:rsid w:val="00BD2E12"/>
    <w:rsid w:val="00BE0D91"/>
    <w:rsid w:val="00BF4984"/>
    <w:rsid w:val="00C0767B"/>
    <w:rsid w:val="00C07B90"/>
    <w:rsid w:val="00C175CD"/>
    <w:rsid w:val="00C25813"/>
    <w:rsid w:val="00C33321"/>
    <w:rsid w:val="00C4173E"/>
    <w:rsid w:val="00C41CBE"/>
    <w:rsid w:val="00C42EA9"/>
    <w:rsid w:val="00C43887"/>
    <w:rsid w:val="00C43DCE"/>
    <w:rsid w:val="00C45098"/>
    <w:rsid w:val="00C51D3E"/>
    <w:rsid w:val="00C62A02"/>
    <w:rsid w:val="00C674F3"/>
    <w:rsid w:val="00C71EAF"/>
    <w:rsid w:val="00C812B4"/>
    <w:rsid w:val="00CA326A"/>
    <w:rsid w:val="00CB69B9"/>
    <w:rsid w:val="00CB74A0"/>
    <w:rsid w:val="00CC1227"/>
    <w:rsid w:val="00CC43B4"/>
    <w:rsid w:val="00CE0036"/>
    <w:rsid w:val="00CF1D86"/>
    <w:rsid w:val="00CF7A99"/>
    <w:rsid w:val="00D05CC3"/>
    <w:rsid w:val="00D128B5"/>
    <w:rsid w:val="00D21237"/>
    <w:rsid w:val="00D260D0"/>
    <w:rsid w:val="00D26347"/>
    <w:rsid w:val="00D355B0"/>
    <w:rsid w:val="00D43080"/>
    <w:rsid w:val="00D61103"/>
    <w:rsid w:val="00D655D7"/>
    <w:rsid w:val="00D71A20"/>
    <w:rsid w:val="00D7369D"/>
    <w:rsid w:val="00D77027"/>
    <w:rsid w:val="00D77935"/>
    <w:rsid w:val="00D8112F"/>
    <w:rsid w:val="00D90044"/>
    <w:rsid w:val="00D90055"/>
    <w:rsid w:val="00D9228B"/>
    <w:rsid w:val="00DB2AA0"/>
    <w:rsid w:val="00DB55A6"/>
    <w:rsid w:val="00DB70F8"/>
    <w:rsid w:val="00DC162B"/>
    <w:rsid w:val="00DC6803"/>
    <w:rsid w:val="00DE0133"/>
    <w:rsid w:val="00DE4740"/>
    <w:rsid w:val="00DF26FA"/>
    <w:rsid w:val="00DF4FE2"/>
    <w:rsid w:val="00DF74E0"/>
    <w:rsid w:val="00E11A34"/>
    <w:rsid w:val="00E15021"/>
    <w:rsid w:val="00E31D74"/>
    <w:rsid w:val="00E324A7"/>
    <w:rsid w:val="00E33673"/>
    <w:rsid w:val="00E34BFE"/>
    <w:rsid w:val="00E37223"/>
    <w:rsid w:val="00E40DCA"/>
    <w:rsid w:val="00E457C3"/>
    <w:rsid w:val="00E52915"/>
    <w:rsid w:val="00E54378"/>
    <w:rsid w:val="00E57B72"/>
    <w:rsid w:val="00E821CA"/>
    <w:rsid w:val="00E82AF8"/>
    <w:rsid w:val="00E856EF"/>
    <w:rsid w:val="00E92FCD"/>
    <w:rsid w:val="00EA0585"/>
    <w:rsid w:val="00ED00F6"/>
    <w:rsid w:val="00ED4175"/>
    <w:rsid w:val="00ED743B"/>
    <w:rsid w:val="00EE5602"/>
    <w:rsid w:val="00EE5687"/>
    <w:rsid w:val="00EF4F76"/>
    <w:rsid w:val="00F12CDD"/>
    <w:rsid w:val="00F15D0A"/>
    <w:rsid w:val="00F21F5C"/>
    <w:rsid w:val="00F25121"/>
    <w:rsid w:val="00F273E5"/>
    <w:rsid w:val="00F31A4E"/>
    <w:rsid w:val="00F32C70"/>
    <w:rsid w:val="00F336A1"/>
    <w:rsid w:val="00F704E7"/>
    <w:rsid w:val="00F7279E"/>
    <w:rsid w:val="00F75E2D"/>
    <w:rsid w:val="00F77C28"/>
    <w:rsid w:val="00F81632"/>
    <w:rsid w:val="00F90DD1"/>
    <w:rsid w:val="00F96C0A"/>
    <w:rsid w:val="00F978B7"/>
    <w:rsid w:val="00FC7D79"/>
    <w:rsid w:val="00FD0AB6"/>
    <w:rsid w:val="00FD7697"/>
    <w:rsid w:val="00FE433C"/>
    <w:rsid w:val="00FF02BC"/>
    <w:rsid w:val="00FF11A4"/>
    <w:rsid w:val="00FF4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customStyle="1" w:styleId="Texto">
    <w:name w:val="Texto"/>
    <w:basedOn w:val="Normal"/>
    <w:link w:val="TextoCar"/>
    <w:rsid w:val="00E40DC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40DCA"/>
    <w:rPr>
      <w:rFonts w:ascii="Arial" w:eastAsia="Times New Roman" w:hAnsi="Arial" w:cs="Arial"/>
      <w:sz w:val="18"/>
      <w:szCs w:val="20"/>
      <w:lang w:val="es-ES"/>
    </w:rPr>
  </w:style>
  <w:style w:type="paragraph" w:styleId="NormalWeb">
    <w:name w:val="Normal (Web)"/>
    <w:basedOn w:val="Normal"/>
    <w:uiPriority w:val="99"/>
    <w:semiHidden/>
    <w:unhideWhenUsed/>
    <w:rsid w:val="006B2541"/>
    <w:pPr>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6B2541"/>
    <w:rPr>
      <w:b/>
      <w:bCs/>
    </w:rPr>
  </w:style>
  <w:style w:type="character" w:customStyle="1" w:styleId="apple-converted-space">
    <w:name w:val="apple-converted-space"/>
    <w:basedOn w:val="Fuentedeprrafopredeter"/>
    <w:rsid w:val="006B2541"/>
  </w:style>
  <w:style w:type="paragraph" w:styleId="Textodeglobo">
    <w:name w:val="Balloon Text"/>
    <w:basedOn w:val="Normal"/>
    <w:link w:val="TextodegloboCar"/>
    <w:uiPriority w:val="99"/>
    <w:semiHidden/>
    <w:unhideWhenUsed/>
    <w:rsid w:val="00284E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EDC"/>
    <w:rPr>
      <w:rFonts w:ascii="Segoe UI"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customStyle="1" w:styleId="Texto">
    <w:name w:val="Texto"/>
    <w:basedOn w:val="Normal"/>
    <w:link w:val="TextoCar"/>
    <w:rsid w:val="00E40DC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40DCA"/>
    <w:rPr>
      <w:rFonts w:ascii="Arial" w:eastAsia="Times New Roman" w:hAnsi="Arial" w:cs="Arial"/>
      <w:sz w:val="18"/>
      <w:szCs w:val="20"/>
      <w:lang w:val="es-ES"/>
    </w:rPr>
  </w:style>
  <w:style w:type="paragraph" w:styleId="NormalWeb">
    <w:name w:val="Normal (Web)"/>
    <w:basedOn w:val="Normal"/>
    <w:uiPriority w:val="99"/>
    <w:semiHidden/>
    <w:unhideWhenUsed/>
    <w:rsid w:val="006B2541"/>
    <w:pPr>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6B2541"/>
    <w:rPr>
      <w:b/>
      <w:bCs/>
    </w:rPr>
  </w:style>
  <w:style w:type="character" w:customStyle="1" w:styleId="apple-converted-space">
    <w:name w:val="apple-converted-space"/>
    <w:basedOn w:val="Fuentedeprrafopredeter"/>
    <w:rsid w:val="006B2541"/>
  </w:style>
  <w:style w:type="paragraph" w:styleId="Textodeglobo">
    <w:name w:val="Balloon Text"/>
    <w:basedOn w:val="Normal"/>
    <w:link w:val="TextodegloboCar"/>
    <w:uiPriority w:val="99"/>
    <w:semiHidden/>
    <w:unhideWhenUsed/>
    <w:rsid w:val="00284E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ED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635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9271-CD50-4218-948A-6AC3378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Mondragón</dc:creator>
  <cp:lastModifiedBy>Juan.Galindo</cp:lastModifiedBy>
  <cp:revision>53</cp:revision>
  <cp:lastPrinted>2016-12-08T16:08:00Z</cp:lastPrinted>
  <dcterms:created xsi:type="dcterms:W3CDTF">2016-12-12T18:39:00Z</dcterms:created>
  <dcterms:modified xsi:type="dcterms:W3CDTF">2016-12-12T20:38:00Z</dcterms:modified>
</cp:coreProperties>
</file>